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F38C" w14:textId="77777777" w:rsidR="00926755" w:rsidRPr="00926755" w:rsidRDefault="00926755" w:rsidP="00926755">
      <w:pPr>
        <w:pStyle w:val="NormaleWeb"/>
        <w:jc w:val="center"/>
        <w:rPr>
          <w:rFonts w:ascii="Times New Roman" w:hAnsi="Times New Roman"/>
          <w:b/>
          <w:sz w:val="24"/>
          <w:szCs w:val="24"/>
        </w:rPr>
      </w:pPr>
      <w:r w:rsidRPr="00926755">
        <w:rPr>
          <w:rFonts w:ascii="Times New Roman" w:hAnsi="Times New Roman"/>
          <w:b/>
          <w:sz w:val="24"/>
          <w:szCs w:val="24"/>
        </w:rPr>
        <w:t>ANNO SCOLASTICO 2016/2017  - CLASSE 5A AFM</w:t>
      </w:r>
    </w:p>
    <w:p w14:paraId="383B0080" w14:textId="77777777" w:rsidR="00926755" w:rsidRDefault="00926755" w:rsidP="00926755">
      <w:pPr>
        <w:pStyle w:val="NormaleWeb"/>
        <w:jc w:val="center"/>
        <w:rPr>
          <w:rFonts w:ascii="Times New Roman" w:hAnsi="Times New Roman"/>
          <w:b/>
          <w:sz w:val="24"/>
          <w:szCs w:val="24"/>
        </w:rPr>
      </w:pPr>
      <w:r w:rsidRPr="00926755">
        <w:rPr>
          <w:rFonts w:ascii="Times New Roman" w:hAnsi="Times New Roman"/>
          <w:b/>
          <w:sz w:val="24"/>
          <w:szCs w:val="24"/>
        </w:rPr>
        <w:t>DIRITTO</w:t>
      </w:r>
    </w:p>
    <w:p w14:paraId="4A8F02A5" w14:textId="77777777" w:rsidR="00926755" w:rsidRPr="00926755" w:rsidRDefault="00926755" w:rsidP="00926755">
      <w:pPr>
        <w:pStyle w:val="NormaleWeb"/>
        <w:contextualSpacing/>
        <w:jc w:val="center"/>
        <w:rPr>
          <w:rFonts w:ascii="Times New Roman" w:hAnsi="Times New Roman"/>
          <w:sz w:val="24"/>
          <w:szCs w:val="24"/>
        </w:rPr>
      </w:pPr>
    </w:p>
    <w:p w14:paraId="6B654D1B" w14:textId="77777777" w:rsidR="00926755" w:rsidRPr="00926755" w:rsidRDefault="00926755" w:rsidP="00926755">
      <w:pPr>
        <w:pStyle w:val="NormaleWeb"/>
        <w:contextualSpacing/>
        <w:jc w:val="both"/>
        <w:rPr>
          <w:rFonts w:ascii="Times New Roman" w:hAnsi="Times New Roman"/>
          <w:b/>
          <w:sz w:val="24"/>
          <w:szCs w:val="24"/>
        </w:rPr>
      </w:pPr>
      <w:r w:rsidRPr="00926755">
        <w:rPr>
          <w:rFonts w:ascii="Times New Roman" w:hAnsi="Times New Roman"/>
          <w:b/>
          <w:sz w:val="24"/>
          <w:szCs w:val="24"/>
        </w:rPr>
        <w:t>Docente: Massimo Favaron</w:t>
      </w:r>
    </w:p>
    <w:p w14:paraId="284BE47E" w14:textId="77777777" w:rsidR="00926755" w:rsidRPr="00926755" w:rsidRDefault="00926755" w:rsidP="00926755">
      <w:pPr>
        <w:pStyle w:val="NormaleWeb"/>
        <w:contextualSpacing/>
        <w:jc w:val="both"/>
        <w:rPr>
          <w:rFonts w:ascii="Times New Roman" w:hAnsi="Times New Roman"/>
          <w:b/>
          <w:sz w:val="24"/>
          <w:szCs w:val="24"/>
        </w:rPr>
      </w:pPr>
      <w:r w:rsidRPr="00926755">
        <w:rPr>
          <w:rFonts w:ascii="Times New Roman" w:hAnsi="Times New Roman"/>
          <w:b/>
          <w:sz w:val="24"/>
          <w:szCs w:val="24"/>
        </w:rPr>
        <w:t xml:space="preserve">Libro di testo: Il diritto in pratica 2 – Autore: M. Capiluppi -  Ediz. Tramontana </w:t>
      </w:r>
    </w:p>
    <w:p w14:paraId="02898DF8" w14:textId="77777777" w:rsidR="00926755" w:rsidRDefault="00926755" w:rsidP="00926755">
      <w:pPr>
        <w:pStyle w:val="NormaleWeb"/>
        <w:jc w:val="both"/>
        <w:rPr>
          <w:rFonts w:ascii="Times New Roman" w:hAnsi="Times New Roman"/>
          <w:sz w:val="24"/>
          <w:szCs w:val="24"/>
        </w:rPr>
      </w:pPr>
    </w:p>
    <w:p w14:paraId="72180E8D" w14:textId="77777777" w:rsidR="00926755" w:rsidRPr="00926755" w:rsidRDefault="00926755" w:rsidP="00926755">
      <w:pPr>
        <w:pStyle w:val="NormaleWeb"/>
        <w:jc w:val="both"/>
        <w:rPr>
          <w:rFonts w:ascii="Times New Roman" w:hAnsi="Times New Roman"/>
          <w:b/>
          <w:sz w:val="24"/>
          <w:szCs w:val="24"/>
        </w:rPr>
      </w:pPr>
      <w:r w:rsidRPr="00926755">
        <w:rPr>
          <w:rFonts w:ascii="Times New Roman" w:hAnsi="Times New Roman"/>
          <w:b/>
          <w:sz w:val="24"/>
          <w:szCs w:val="24"/>
        </w:rPr>
        <w:t>Relazione metodologico-didattica:</w:t>
      </w:r>
    </w:p>
    <w:p w14:paraId="1FF31E8E" w14:textId="74675371" w:rsidR="00E82035" w:rsidRDefault="00926755" w:rsidP="00E82035">
      <w:pPr>
        <w:pStyle w:val="NormaleWeb"/>
        <w:jc w:val="both"/>
        <w:rPr>
          <w:rFonts w:ascii="Times New Roman" w:hAnsi="Times New Roman"/>
          <w:sz w:val="24"/>
          <w:szCs w:val="24"/>
        </w:rPr>
      </w:pPr>
      <w:r>
        <w:rPr>
          <w:rFonts w:ascii="Times New Roman" w:hAnsi="Times New Roman"/>
          <w:sz w:val="24"/>
          <w:szCs w:val="24"/>
        </w:rPr>
        <w:t>Nel corso selle lezioni si è</w:t>
      </w:r>
      <w:r w:rsidRPr="00926755">
        <w:rPr>
          <w:rFonts w:ascii="Times New Roman" w:hAnsi="Times New Roman"/>
          <w:sz w:val="24"/>
          <w:szCs w:val="24"/>
        </w:rPr>
        <w:t xml:space="preserve"> privilegiato un approccio di tipo problematico alla disciplina al fine di sviluppare negli allievi la capacità di argomentazione e di rielaborazione personale e critica dei contenuti. Pertanto </w:t>
      </w:r>
      <w:r>
        <w:rPr>
          <w:rFonts w:ascii="Times New Roman" w:hAnsi="Times New Roman"/>
          <w:sz w:val="24"/>
          <w:szCs w:val="24"/>
        </w:rPr>
        <w:t>l’insegnante</w:t>
      </w:r>
      <w:r w:rsidRPr="00926755">
        <w:rPr>
          <w:rFonts w:ascii="Times New Roman" w:hAnsi="Times New Roman"/>
          <w:sz w:val="24"/>
          <w:szCs w:val="24"/>
        </w:rPr>
        <w:t xml:space="preserve"> della materia </w:t>
      </w:r>
      <w:r w:rsidR="00E82035">
        <w:rPr>
          <w:rFonts w:ascii="Times New Roman" w:hAnsi="Times New Roman"/>
          <w:sz w:val="24"/>
          <w:szCs w:val="24"/>
        </w:rPr>
        <w:t>ha improntato la lezione in maniera prevalentemente</w:t>
      </w:r>
      <w:r w:rsidRPr="00926755">
        <w:rPr>
          <w:rFonts w:ascii="Times New Roman" w:hAnsi="Times New Roman"/>
          <w:sz w:val="24"/>
          <w:szCs w:val="24"/>
        </w:rPr>
        <w:t xml:space="preserve"> </w:t>
      </w:r>
      <w:r>
        <w:rPr>
          <w:rFonts w:ascii="Times New Roman" w:hAnsi="Times New Roman"/>
          <w:sz w:val="24"/>
          <w:szCs w:val="24"/>
        </w:rPr>
        <w:t>partecipata</w:t>
      </w:r>
      <w:r w:rsidRPr="00926755">
        <w:rPr>
          <w:rFonts w:ascii="Times New Roman" w:hAnsi="Times New Roman"/>
          <w:sz w:val="24"/>
          <w:szCs w:val="24"/>
        </w:rPr>
        <w:t>, accompagnata da rif</w:t>
      </w:r>
      <w:r>
        <w:rPr>
          <w:rFonts w:ascii="Times New Roman" w:hAnsi="Times New Roman"/>
          <w:sz w:val="24"/>
          <w:szCs w:val="24"/>
        </w:rPr>
        <w:t xml:space="preserve">erimenti a situazioni concrete e con il coinvolgimento diretto degli studenti. </w:t>
      </w:r>
      <w:r w:rsidRPr="00926755">
        <w:rPr>
          <w:rFonts w:ascii="Times New Roman" w:hAnsi="Times New Roman"/>
          <w:sz w:val="24"/>
          <w:szCs w:val="24"/>
        </w:rPr>
        <w:t xml:space="preserve">Sono inoltre state </w:t>
      </w:r>
      <w:r>
        <w:rPr>
          <w:rFonts w:ascii="Times New Roman" w:hAnsi="Times New Roman"/>
          <w:sz w:val="24"/>
          <w:szCs w:val="24"/>
        </w:rPr>
        <w:t xml:space="preserve">impiegate di frequente domande come </w:t>
      </w:r>
      <w:r w:rsidRPr="00926755">
        <w:rPr>
          <w:rFonts w:ascii="Times New Roman" w:hAnsi="Times New Roman"/>
          <w:sz w:val="24"/>
          <w:szCs w:val="24"/>
        </w:rPr>
        <w:t xml:space="preserve">stimolo per introdurre una discussione con la quale gli allievi sono stati </w:t>
      </w:r>
      <w:r w:rsidR="00BD79E8">
        <w:rPr>
          <w:rFonts w:ascii="Times New Roman" w:hAnsi="Times New Roman"/>
          <w:sz w:val="24"/>
          <w:szCs w:val="24"/>
        </w:rPr>
        <w:t xml:space="preserve">invitati ad esprimere </w:t>
      </w:r>
      <w:r w:rsidRPr="00926755">
        <w:rPr>
          <w:rFonts w:ascii="Times New Roman" w:hAnsi="Times New Roman"/>
          <w:sz w:val="24"/>
          <w:szCs w:val="24"/>
        </w:rPr>
        <w:t>propri</w:t>
      </w:r>
      <w:r w:rsidR="00BD79E8">
        <w:rPr>
          <w:rFonts w:ascii="Times New Roman" w:hAnsi="Times New Roman"/>
          <w:sz w:val="24"/>
          <w:szCs w:val="24"/>
        </w:rPr>
        <w:t>e riflessioni</w:t>
      </w:r>
      <w:r w:rsidRPr="00926755">
        <w:rPr>
          <w:rFonts w:ascii="Times New Roman" w:hAnsi="Times New Roman"/>
          <w:sz w:val="24"/>
          <w:szCs w:val="24"/>
        </w:rPr>
        <w:t xml:space="preserve"> </w:t>
      </w:r>
      <w:r w:rsidR="00BD79E8">
        <w:rPr>
          <w:rFonts w:ascii="Times New Roman" w:hAnsi="Times New Roman"/>
          <w:sz w:val="24"/>
          <w:szCs w:val="24"/>
        </w:rPr>
        <w:t>personali, motivandole</w:t>
      </w:r>
      <w:r w:rsidRPr="00926755">
        <w:rPr>
          <w:rFonts w:ascii="Times New Roman" w:hAnsi="Times New Roman"/>
          <w:sz w:val="24"/>
          <w:szCs w:val="24"/>
        </w:rPr>
        <w:t xml:space="preserve">. Partendo dall'analisi rigorosa dei concetti fondamentali del diritto, si è cercato di fornire agli studenti un quadro completo dei diversi istituti giuridici sia dal punto di vista di una corretta interpretazione, sia da quello di una loro concreta applicazione alla realtà sociale. </w:t>
      </w:r>
      <w:r w:rsidR="00E82035">
        <w:rPr>
          <w:rFonts w:ascii="Times New Roman" w:hAnsi="Times New Roman"/>
          <w:sz w:val="24"/>
          <w:szCs w:val="24"/>
        </w:rPr>
        <w:t xml:space="preserve">Nel corso dell’anno si sono più volte integrate le lezioni di tipo tradizionale con l’analisi di testi, articoli di giornale e documentazioni pubbliche reali, al fine di consapevolizzare gli studenti che </w:t>
      </w:r>
      <w:r w:rsidR="00BD79E8">
        <w:rPr>
          <w:rFonts w:ascii="Times New Roman" w:hAnsi="Times New Roman"/>
          <w:sz w:val="24"/>
          <w:szCs w:val="24"/>
        </w:rPr>
        <w:t>gli argomenti</w:t>
      </w:r>
      <w:r w:rsidR="00E82035">
        <w:rPr>
          <w:rFonts w:ascii="Times New Roman" w:hAnsi="Times New Roman"/>
          <w:sz w:val="24"/>
          <w:szCs w:val="24"/>
        </w:rPr>
        <w:t xml:space="preserve"> del programma di studio sono oggetto di continua evoluzione temporale e soprattutto per creare uno stretto legame tra quanto studiato ed il mondo della realtà. </w:t>
      </w:r>
    </w:p>
    <w:p w14:paraId="4CE7E435" w14:textId="77777777" w:rsidR="000C523D" w:rsidRPr="00E82035" w:rsidRDefault="00926755" w:rsidP="00E82035">
      <w:pPr>
        <w:pStyle w:val="NormaleWeb"/>
        <w:jc w:val="both"/>
        <w:rPr>
          <w:rFonts w:ascii="Times New Roman" w:hAnsi="Times New Roman"/>
          <w:sz w:val="24"/>
          <w:szCs w:val="24"/>
        </w:rPr>
      </w:pPr>
      <w:r w:rsidRPr="00926755">
        <w:rPr>
          <w:rFonts w:ascii="Times New Roman" w:hAnsi="Times New Roman"/>
          <w:sz w:val="24"/>
          <w:szCs w:val="24"/>
        </w:rPr>
        <w:t>La valutazione degli studenti è stata eff</w:t>
      </w:r>
      <w:r w:rsidR="00E82035">
        <w:rPr>
          <w:rFonts w:ascii="Times New Roman" w:hAnsi="Times New Roman"/>
          <w:sz w:val="24"/>
          <w:szCs w:val="24"/>
        </w:rPr>
        <w:t xml:space="preserve">ettuata sia attraverso </w:t>
      </w:r>
      <w:r w:rsidRPr="00926755">
        <w:rPr>
          <w:rFonts w:ascii="Times New Roman" w:hAnsi="Times New Roman"/>
          <w:sz w:val="24"/>
          <w:szCs w:val="24"/>
        </w:rPr>
        <w:t>prove orali, in forma di colloquio, sia attraverso prove scritte, simili alla tipologia di terza prova dell'Esame di S</w:t>
      </w:r>
      <w:r w:rsidR="00E82035">
        <w:rPr>
          <w:rFonts w:ascii="Times New Roman" w:hAnsi="Times New Roman"/>
          <w:sz w:val="24"/>
          <w:szCs w:val="24"/>
        </w:rPr>
        <w:t xml:space="preserve">tato: "trattazione sintetica di </w:t>
      </w:r>
      <w:r w:rsidRPr="00926755">
        <w:rPr>
          <w:rFonts w:ascii="Times New Roman" w:hAnsi="Times New Roman"/>
          <w:sz w:val="24"/>
          <w:szCs w:val="24"/>
        </w:rPr>
        <w:t>argoment</w:t>
      </w:r>
      <w:r w:rsidR="00E82035">
        <w:rPr>
          <w:rFonts w:ascii="Times New Roman" w:hAnsi="Times New Roman"/>
          <w:sz w:val="24"/>
          <w:szCs w:val="24"/>
        </w:rPr>
        <w:t>i" e "quesiti a risposta aperta singola</w:t>
      </w:r>
      <w:r w:rsidRPr="00926755">
        <w:rPr>
          <w:rFonts w:ascii="Times New Roman" w:hAnsi="Times New Roman"/>
          <w:sz w:val="24"/>
          <w:szCs w:val="24"/>
        </w:rPr>
        <w:t xml:space="preserve">". Le verifiche sono state finalizzate ad accertare l'acquisizione dei </w:t>
      </w:r>
      <w:r w:rsidR="00E82035">
        <w:rPr>
          <w:rFonts w:ascii="Times New Roman" w:hAnsi="Times New Roman"/>
          <w:sz w:val="24"/>
          <w:szCs w:val="24"/>
        </w:rPr>
        <w:t>temi trattati, sia "in itinere"</w:t>
      </w:r>
      <w:r w:rsidRPr="00926755">
        <w:rPr>
          <w:rFonts w:ascii="Times New Roman" w:hAnsi="Times New Roman"/>
          <w:sz w:val="24"/>
          <w:szCs w:val="24"/>
        </w:rPr>
        <w:t xml:space="preserve"> che a</w:t>
      </w:r>
      <w:r w:rsidR="00E82035">
        <w:rPr>
          <w:rFonts w:ascii="Times New Roman" w:hAnsi="Times New Roman"/>
          <w:sz w:val="24"/>
          <w:szCs w:val="24"/>
        </w:rPr>
        <w:t>l termine del percorso modulare, allo scopo di accertare l’acquisizione delle competenze e delle abilità richieste dalla disciplina.</w:t>
      </w:r>
    </w:p>
    <w:p w14:paraId="772AAF0D" w14:textId="77777777" w:rsidR="00926755" w:rsidRPr="00926755" w:rsidRDefault="00926755" w:rsidP="00926755">
      <w:pPr>
        <w:jc w:val="both"/>
        <w:rPr>
          <w:rFonts w:ascii="Times New Roman" w:hAnsi="Times New Roman" w:cs="Times New Roman"/>
        </w:rPr>
      </w:pPr>
    </w:p>
    <w:p w14:paraId="3B8A71D8" w14:textId="125D3889" w:rsidR="00926755" w:rsidRPr="006D5889" w:rsidRDefault="006D5889" w:rsidP="00926755">
      <w:pPr>
        <w:jc w:val="both"/>
        <w:rPr>
          <w:rFonts w:ascii="Times New Roman" w:hAnsi="Times New Roman" w:cs="Times New Roman"/>
          <w:b/>
        </w:rPr>
      </w:pPr>
      <w:r w:rsidRPr="006D5889">
        <w:rPr>
          <w:rFonts w:ascii="Times New Roman" w:hAnsi="Times New Roman" w:cs="Times New Roman"/>
          <w:b/>
        </w:rPr>
        <w:t>Programma svolto:</w:t>
      </w:r>
    </w:p>
    <w:p w14:paraId="06E82196" w14:textId="77777777" w:rsidR="006D5889" w:rsidRDefault="006D5889" w:rsidP="00926755">
      <w:pPr>
        <w:jc w:val="both"/>
        <w:rPr>
          <w:rFonts w:ascii="Times New Roman" w:hAnsi="Times New Roman" w:cs="Times New Roman"/>
        </w:rPr>
      </w:pPr>
    </w:p>
    <w:p w14:paraId="16EC06AA" w14:textId="61F8FC63" w:rsidR="006D5889" w:rsidRDefault="006D5889" w:rsidP="006D5889">
      <w:pPr>
        <w:pStyle w:val="Paragrafoelenco"/>
        <w:numPr>
          <w:ilvl w:val="0"/>
          <w:numId w:val="2"/>
        </w:numPr>
        <w:jc w:val="both"/>
        <w:rPr>
          <w:rFonts w:ascii="Times New Roman" w:hAnsi="Times New Roman" w:cs="Times New Roman"/>
          <w:b/>
        </w:rPr>
      </w:pPr>
      <w:r w:rsidRPr="006D5889">
        <w:rPr>
          <w:rFonts w:ascii="Times New Roman" w:hAnsi="Times New Roman" w:cs="Times New Roman"/>
          <w:b/>
        </w:rPr>
        <w:t xml:space="preserve">LO STATO E I </w:t>
      </w:r>
      <w:r>
        <w:rPr>
          <w:rFonts w:ascii="Times New Roman" w:hAnsi="Times New Roman" w:cs="Times New Roman"/>
          <w:b/>
        </w:rPr>
        <w:t>SUOI ELEMENTI:</w:t>
      </w:r>
    </w:p>
    <w:p w14:paraId="480E26F2" w14:textId="64CBF7FC" w:rsidR="006D5889" w:rsidRPr="006D5889" w:rsidRDefault="006D5889" w:rsidP="006D5889">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Concetto di Stato: </w:t>
      </w:r>
      <w:r>
        <w:rPr>
          <w:rFonts w:ascii="Times New Roman" w:hAnsi="Times New Roman" w:cs="Times New Roman"/>
        </w:rPr>
        <w:t>definizione, stato comunità e stato apparato, elementi costitutivi dello Stato;</w:t>
      </w:r>
    </w:p>
    <w:p w14:paraId="12AA79CA" w14:textId="690FA901" w:rsidR="006D5889" w:rsidRPr="006D5889" w:rsidRDefault="006D5889" w:rsidP="006D5889">
      <w:pPr>
        <w:pStyle w:val="Paragrafoelenco"/>
        <w:numPr>
          <w:ilvl w:val="1"/>
          <w:numId w:val="2"/>
        </w:numPr>
        <w:jc w:val="both"/>
        <w:rPr>
          <w:rFonts w:ascii="Times New Roman" w:hAnsi="Times New Roman" w:cs="Times New Roman"/>
          <w:b/>
        </w:rPr>
      </w:pPr>
      <w:r>
        <w:rPr>
          <w:rFonts w:ascii="Times New Roman" w:hAnsi="Times New Roman" w:cs="Times New Roman"/>
          <w:b/>
        </w:rPr>
        <w:t>Il popolo:</w:t>
      </w:r>
      <w:r w:rsidR="00EC6CD4">
        <w:rPr>
          <w:rFonts w:ascii="Times New Roman" w:hAnsi="Times New Roman" w:cs="Times New Roman"/>
        </w:rPr>
        <w:t xml:space="preserve"> definizioni di popolo, </w:t>
      </w:r>
      <w:r>
        <w:rPr>
          <w:rFonts w:ascii="Times New Roman" w:hAnsi="Times New Roman" w:cs="Times New Roman"/>
        </w:rPr>
        <w:t>cittadino, straniero e apolide; metodi di acquisto della cittadinanza per nascita (ius sangiunis e ius soli); altri metodi di acquisto della cittadinanza italiana (adozione, matrimonio, per elezione e per naturalizzazione); perdita della cittadinanza (rinuncia, incompatibilità); differenza tra popolo, popolazione e nazione; estradizione e espulsione; diritto di asilo; cenni al concetto di cittadinanza europea.</w:t>
      </w:r>
    </w:p>
    <w:p w14:paraId="5D791A3D" w14:textId="61EF8ED4" w:rsidR="006D5889" w:rsidRPr="006D5889" w:rsidRDefault="006D5889" w:rsidP="006D5889">
      <w:pPr>
        <w:pStyle w:val="Paragrafoelenco"/>
        <w:numPr>
          <w:ilvl w:val="1"/>
          <w:numId w:val="2"/>
        </w:numPr>
        <w:jc w:val="both"/>
        <w:rPr>
          <w:rFonts w:ascii="Times New Roman" w:hAnsi="Times New Roman" w:cs="Times New Roman"/>
          <w:b/>
        </w:rPr>
      </w:pPr>
      <w:r>
        <w:rPr>
          <w:rFonts w:ascii="Times New Roman" w:hAnsi="Times New Roman" w:cs="Times New Roman"/>
          <w:b/>
        </w:rPr>
        <w:t>Il territorio:</w:t>
      </w:r>
      <w:r>
        <w:rPr>
          <w:rFonts w:ascii="Times New Roman" w:hAnsi="Times New Roman" w:cs="Times New Roman"/>
        </w:rPr>
        <w:t xml:space="preserve"> definizione generale e elementi del territorio (terraferma, acque territoriali, spazio aereo, sottosuolo, territorio mobile, extraterritorialità).</w:t>
      </w:r>
    </w:p>
    <w:p w14:paraId="55E06FB0" w14:textId="286B9225" w:rsidR="00C7144C" w:rsidRPr="00C7144C" w:rsidRDefault="006D5889" w:rsidP="00C7144C">
      <w:pPr>
        <w:pStyle w:val="Paragrafoelenco"/>
        <w:numPr>
          <w:ilvl w:val="1"/>
          <w:numId w:val="2"/>
        </w:numPr>
        <w:jc w:val="both"/>
        <w:rPr>
          <w:rFonts w:ascii="Times New Roman" w:hAnsi="Times New Roman" w:cs="Times New Roman"/>
          <w:b/>
        </w:rPr>
      </w:pPr>
      <w:r>
        <w:rPr>
          <w:rFonts w:ascii="Times New Roman" w:hAnsi="Times New Roman" w:cs="Times New Roman"/>
          <w:b/>
        </w:rPr>
        <w:t>La sovranità:</w:t>
      </w:r>
      <w:r>
        <w:rPr>
          <w:rFonts w:ascii="Times New Roman" w:hAnsi="Times New Roman" w:cs="Times New Roman"/>
        </w:rPr>
        <w:t xml:space="preserve"> definizione, sovranità intern</w:t>
      </w:r>
      <w:r w:rsidR="00EC6CD4">
        <w:rPr>
          <w:rFonts w:ascii="Times New Roman" w:hAnsi="Times New Roman" w:cs="Times New Roman"/>
        </w:rPr>
        <w:t>a ed esterna;</w:t>
      </w:r>
      <w:bookmarkStart w:id="0" w:name="_GoBack"/>
      <w:bookmarkEnd w:id="0"/>
      <w:r>
        <w:rPr>
          <w:rFonts w:ascii="Times New Roman" w:hAnsi="Times New Roman" w:cs="Times New Roman"/>
        </w:rPr>
        <w:t xml:space="preserve"> </w:t>
      </w:r>
      <w:r w:rsidR="00C7144C">
        <w:rPr>
          <w:rFonts w:ascii="Times New Roman" w:hAnsi="Times New Roman" w:cs="Times New Roman"/>
        </w:rPr>
        <w:t>le limitazioni di sovra</w:t>
      </w:r>
      <w:r w:rsidR="00EC6CD4">
        <w:rPr>
          <w:rFonts w:ascii="Times New Roman" w:hAnsi="Times New Roman" w:cs="Times New Roman"/>
        </w:rPr>
        <w:t>nità per accordi internazionali;</w:t>
      </w:r>
      <w:r w:rsidR="00C7144C">
        <w:rPr>
          <w:rFonts w:ascii="Times New Roman" w:hAnsi="Times New Roman" w:cs="Times New Roman"/>
        </w:rPr>
        <w:t xml:space="preserve"> il concetto di organi dello Stato; cenni alla classificazione degli organi dello stato.</w:t>
      </w:r>
    </w:p>
    <w:p w14:paraId="7E7811BB" w14:textId="78EE69C4" w:rsidR="00C7144C" w:rsidRPr="00C7144C" w:rsidRDefault="00C7144C" w:rsidP="00C7144C">
      <w:pPr>
        <w:pStyle w:val="Paragrafoelenco"/>
        <w:numPr>
          <w:ilvl w:val="0"/>
          <w:numId w:val="2"/>
        </w:numPr>
        <w:jc w:val="both"/>
        <w:rPr>
          <w:rFonts w:ascii="Times New Roman" w:hAnsi="Times New Roman" w:cs="Times New Roman"/>
          <w:b/>
        </w:rPr>
      </w:pPr>
      <w:r>
        <w:rPr>
          <w:rFonts w:ascii="Times New Roman" w:hAnsi="Times New Roman" w:cs="Times New Roman"/>
          <w:b/>
        </w:rPr>
        <w:t>GLI ORGANI DELLO STATO</w:t>
      </w:r>
      <w:r>
        <w:rPr>
          <w:rFonts w:ascii="Times New Roman" w:hAnsi="Times New Roman" w:cs="Times New Roman"/>
        </w:rPr>
        <w:t xml:space="preserve">: </w:t>
      </w:r>
    </w:p>
    <w:p w14:paraId="6D5C8F58" w14:textId="270256F8" w:rsidR="00C7144C" w:rsidRPr="006F482D" w:rsidRDefault="00C7144C" w:rsidP="00C7144C">
      <w:pPr>
        <w:pStyle w:val="Paragrafoelenco"/>
        <w:numPr>
          <w:ilvl w:val="1"/>
          <w:numId w:val="2"/>
        </w:numPr>
        <w:jc w:val="both"/>
        <w:rPr>
          <w:rFonts w:ascii="Times New Roman" w:hAnsi="Times New Roman" w:cs="Times New Roman"/>
          <w:b/>
        </w:rPr>
      </w:pPr>
      <w:r>
        <w:rPr>
          <w:rFonts w:ascii="Times New Roman" w:hAnsi="Times New Roman" w:cs="Times New Roman"/>
          <w:b/>
        </w:rPr>
        <w:t>Il Parlamento</w:t>
      </w:r>
      <w:r w:rsidRPr="00C7144C">
        <w:rPr>
          <w:rFonts w:ascii="Times New Roman" w:hAnsi="Times New Roman" w:cs="Times New Roman"/>
        </w:rPr>
        <w:t>:</w:t>
      </w:r>
      <w:r w:rsidR="006F482D">
        <w:rPr>
          <w:rFonts w:ascii="Times New Roman" w:hAnsi="Times New Roman" w:cs="Times New Roman"/>
        </w:rPr>
        <w:t xml:space="preserve"> composizione;</w:t>
      </w:r>
      <w:r>
        <w:rPr>
          <w:rFonts w:ascii="Times New Roman" w:hAnsi="Times New Roman" w:cs="Times New Roman"/>
        </w:rPr>
        <w:t xml:space="preserve"> sistemi elettorali (maggioritario e proporzionale), sistema elettorale italiano, soglie di sbarr</w:t>
      </w:r>
      <w:r w:rsidR="006F482D">
        <w:rPr>
          <w:rFonts w:ascii="Times New Roman" w:hAnsi="Times New Roman" w:cs="Times New Roman"/>
        </w:rPr>
        <w:t xml:space="preserve">amento e premio di maggioranza; ineleggibilità e incompatibilità, rappresentanza politica e assenza di mandato dei parlamentari, </w:t>
      </w:r>
      <w:r w:rsidR="006F482D">
        <w:rPr>
          <w:rFonts w:ascii="Times New Roman" w:hAnsi="Times New Roman" w:cs="Times New Roman"/>
        </w:rPr>
        <w:lastRenderedPageBreak/>
        <w:t>insindacabilità e inviolabilità; organizzazione parlamentare (regolamento, presidenza, gruppi e commissioni parlamentari, cenni a giunte parlamentari); funzionamento del Parlamento (quorum, maggioranze richieste, scrutinio palese e segreto); l’iter legislativo ordinario (iniziativa legislativa, discussione e approvazione in sede referente e in sede deliberante, promulgazione, pubblicazione, entrata in vigore); iter legislativo costituzionale (Art. 138 Cost.); altre funzioni del Parlamento: indirizzo e controllo politico (concetto di fiducia, approvazione del bilancio, interrogazioni, interpellanze, mozioni), funzione elettiva, funzione giudiziaria, amnistia e indulto, ratifica trattati internazionali, deliberazione stato di guerra</w:t>
      </w:r>
      <w:r w:rsidR="006F482D">
        <w:rPr>
          <w:rFonts w:ascii="Times New Roman" w:hAnsi="Times New Roman" w:cs="Times New Roman"/>
          <w:b/>
        </w:rPr>
        <w:t>.</w:t>
      </w:r>
    </w:p>
    <w:p w14:paraId="211D826E" w14:textId="7E6B40F2" w:rsidR="006F482D" w:rsidRPr="005B62F2" w:rsidRDefault="006F482D" w:rsidP="00C7144C">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Il Presidente della Repubblica: </w:t>
      </w:r>
      <w:r>
        <w:rPr>
          <w:rFonts w:ascii="Times New Roman" w:hAnsi="Times New Roman" w:cs="Times New Roman"/>
        </w:rPr>
        <w:t xml:space="preserve">il ruolo del capo dello Stato come garante della Costituzione; elezione e supplenza del PDR; irresponsabilità giuridica, tutela penale e prerogative economiche del PDR; </w:t>
      </w:r>
      <w:r w:rsidR="005B62F2">
        <w:rPr>
          <w:rFonts w:ascii="Times New Roman" w:hAnsi="Times New Roman" w:cs="Times New Roman"/>
        </w:rPr>
        <w:t>reato di alto tradimento e attentato alla Costituzione; atti del PDR (sostanzialmente e formalmente presidenziali); funzioni del PDR nell’ambito del potere legislativo, esecutivo e giurisdizionale.</w:t>
      </w:r>
    </w:p>
    <w:p w14:paraId="71EF24FF" w14:textId="2BAD6A82" w:rsidR="005B62F2" w:rsidRPr="005B62F2" w:rsidRDefault="005B62F2" w:rsidP="00C7144C">
      <w:pPr>
        <w:pStyle w:val="Paragrafoelenco"/>
        <w:numPr>
          <w:ilvl w:val="1"/>
          <w:numId w:val="2"/>
        </w:numPr>
        <w:jc w:val="both"/>
        <w:rPr>
          <w:rFonts w:ascii="Times New Roman" w:hAnsi="Times New Roman" w:cs="Times New Roman"/>
          <w:b/>
        </w:rPr>
      </w:pPr>
      <w:r>
        <w:rPr>
          <w:rFonts w:ascii="Times New Roman" w:hAnsi="Times New Roman" w:cs="Times New Roman"/>
          <w:b/>
        </w:rPr>
        <w:t>Il Governo:</w:t>
      </w:r>
      <w:r>
        <w:rPr>
          <w:rFonts w:ascii="Times New Roman" w:hAnsi="Times New Roman" w:cs="Times New Roman"/>
        </w:rPr>
        <w:t xml:space="preserve"> concetto di funzione esecutiva; composizione e funzioni specifiche (ministri, consiglio dei ministri, presidente del consiglio dei ministri, cenni agli organi eventuali: vicepresidenti, ministri senza portafoglio, sottosegretari, commissari straordinari, comitati interministeriali); consultazioni, formazione del Governo, giuramento e fiducia; mozione di sfiducia e questione di fiducia; responsabilità dei ministri; funzione legislativa del Governo (decreti legge, decreti legislativi e regolamenti).</w:t>
      </w:r>
    </w:p>
    <w:p w14:paraId="2C0A8C19" w14:textId="51D40D10" w:rsidR="005B62F2" w:rsidRPr="00AE0068" w:rsidRDefault="00AE0068" w:rsidP="00C7144C">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La Corte Costituzionale: </w:t>
      </w:r>
      <w:r>
        <w:rPr>
          <w:rFonts w:ascii="Times New Roman" w:hAnsi="Times New Roman" w:cs="Times New Roman"/>
        </w:rPr>
        <w:t>composizione; funzioni della Corte (giudizio di legittimità costituzionale con procedimento diretto o indiretto, giudizio sui conflitti di attribuzione dei poteri, giudizio di accusa nei confronti del Presidente della Repubblica, giudizio di ammissibilità dei referendum abrogativi).</w:t>
      </w:r>
    </w:p>
    <w:p w14:paraId="3C7439A4" w14:textId="778DFE60" w:rsidR="00AE0068" w:rsidRPr="00AE0068" w:rsidRDefault="00AE0068" w:rsidP="00C7144C">
      <w:pPr>
        <w:pStyle w:val="Paragrafoelenco"/>
        <w:numPr>
          <w:ilvl w:val="1"/>
          <w:numId w:val="2"/>
        </w:numPr>
        <w:jc w:val="both"/>
        <w:rPr>
          <w:rFonts w:ascii="Times New Roman" w:hAnsi="Times New Roman" w:cs="Times New Roman"/>
          <w:b/>
        </w:rPr>
      </w:pPr>
      <w:r>
        <w:rPr>
          <w:rFonts w:ascii="Times New Roman" w:hAnsi="Times New Roman" w:cs="Times New Roman"/>
          <w:b/>
        </w:rPr>
        <w:t>La Magistratura:</w:t>
      </w:r>
      <w:r>
        <w:rPr>
          <w:rFonts w:ascii="Times New Roman" w:hAnsi="Times New Roman" w:cs="Times New Roman"/>
        </w:rPr>
        <w:t xml:space="preserve"> la funzione giurisdizionale e le sue forme; i tre gradi di processo; il concetto di giusto processo (Art. 111 Cost.); il processo civile (soggetti del processo civile, principi alla base del processo civile, competenza dei giudici civili, l’esecuzione forzata); il processo penale (i reati e le sanzioni, i soggetti del processo penale, competenza dei giudici penali); il processo amministrativo (il ricorso amministrativo: ricorso gerarchico, ricorso in opposizione, ricorso straordinario al Presidente della Repubblica; il ricorso giurisdizionale: TAR e Consiglio di Stato); giurisdizione ordinaria e speciale; Consiglio superiore della Magistratura: funzioni e composizione; la responsabilità dei magistrati.</w:t>
      </w:r>
    </w:p>
    <w:p w14:paraId="5DCC094F" w14:textId="5E36B1F5" w:rsidR="00AE0068" w:rsidRPr="00AE0068" w:rsidRDefault="00AE0068" w:rsidP="00AE0068">
      <w:pPr>
        <w:pStyle w:val="Paragrafoelenco"/>
        <w:numPr>
          <w:ilvl w:val="0"/>
          <w:numId w:val="2"/>
        </w:numPr>
        <w:jc w:val="both"/>
        <w:rPr>
          <w:rFonts w:ascii="Times New Roman" w:hAnsi="Times New Roman" w:cs="Times New Roman"/>
          <w:b/>
        </w:rPr>
      </w:pPr>
      <w:r w:rsidRPr="00AE0068">
        <w:rPr>
          <w:rFonts w:ascii="Times New Roman" w:hAnsi="Times New Roman" w:cs="Times New Roman"/>
          <w:b/>
        </w:rPr>
        <w:t>UNIONE EUROPEA E ISTITUZIONI INTERNAZIONALI (CENNI</w:t>
      </w:r>
      <w:r>
        <w:rPr>
          <w:rFonts w:ascii="Times New Roman" w:hAnsi="Times New Roman" w:cs="Times New Roman"/>
        </w:rPr>
        <w:t>):</w:t>
      </w:r>
    </w:p>
    <w:p w14:paraId="549B2065" w14:textId="168F671A" w:rsidR="00AE0068" w:rsidRPr="00AE0068" w:rsidRDefault="00AE0068" w:rsidP="00AE0068">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Cenni agli organi dell’UE: </w:t>
      </w:r>
      <w:r>
        <w:rPr>
          <w:rFonts w:ascii="Times New Roman" w:hAnsi="Times New Roman" w:cs="Times New Roman"/>
        </w:rPr>
        <w:t>(Parlamento Europeo, Consiglio Europeo, Consiglio dei ministri dell’UE, Commissione Europea, Corte di Giustizia);</w:t>
      </w:r>
    </w:p>
    <w:p w14:paraId="747062E8" w14:textId="50D3CF1F" w:rsidR="00AE0068" w:rsidRPr="00AE0068" w:rsidRDefault="00AE0068" w:rsidP="00AE0068">
      <w:pPr>
        <w:pStyle w:val="Paragrafoelenco"/>
        <w:numPr>
          <w:ilvl w:val="1"/>
          <w:numId w:val="2"/>
        </w:numPr>
        <w:jc w:val="both"/>
        <w:rPr>
          <w:rFonts w:ascii="Times New Roman" w:hAnsi="Times New Roman" w:cs="Times New Roman"/>
          <w:b/>
        </w:rPr>
      </w:pPr>
      <w:r>
        <w:rPr>
          <w:rFonts w:ascii="Times New Roman" w:hAnsi="Times New Roman" w:cs="Times New Roman"/>
          <w:b/>
        </w:rPr>
        <w:t>Cenni alle fonti del diritto comunitario:</w:t>
      </w:r>
      <w:r>
        <w:rPr>
          <w:rFonts w:ascii="Times New Roman" w:hAnsi="Times New Roman" w:cs="Times New Roman"/>
        </w:rPr>
        <w:t xml:space="preserve"> Regolamenti e direttive europee;</w:t>
      </w:r>
    </w:p>
    <w:p w14:paraId="59529966" w14:textId="2703BD7E" w:rsidR="00AE0068" w:rsidRPr="00AE0068" w:rsidRDefault="00AE0068" w:rsidP="00AE0068">
      <w:pPr>
        <w:pStyle w:val="Paragrafoelenco"/>
        <w:numPr>
          <w:ilvl w:val="1"/>
          <w:numId w:val="2"/>
        </w:numPr>
        <w:jc w:val="both"/>
        <w:rPr>
          <w:rFonts w:ascii="Times New Roman" w:hAnsi="Times New Roman" w:cs="Times New Roman"/>
          <w:b/>
        </w:rPr>
      </w:pPr>
      <w:r>
        <w:rPr>
          <w:rFonts w:ascii="Times New Roman" w:hAnsi="Times New Roman" w:cs="Times New Roman"/>
          <w:b/>
        </w:rPr>
        <w:t>Cenni al diritto internazionale:</w:t>
      </w:r>
      <w:r>
        <w:rPr>
          <w:rFonts w:ascii="Times New Roman" w:hAnsi="Times New Roman" w:cs="Times New Roman"/>
        </w:rPr>
        <w:t xml:space="preserve"> definizione, riferimenti costituzionali (Art. 10-11 Cost.), consuetudini e trattati internazionali;</w:t>
      </w:r>
    </w:p>
    <w:p w14:paraId="7AE46500" w14:textId="292E3F7D" w:rsidR="00AE0068" w:rsidRPr="00AE0068" w:rsidRDefault="00AE0068" w:rsidP="00AE0068">
      <w:pPr>
        <w:pStyle w:val="Paragrafoelenco"/>
        <w:numPr>
          <w:ilvl w:val="1"/>
          <w:numId w:val="2"/>
        </w:numPr>
        <w:jc w:val="both"/>
        <w:rPr>
          <w:rFonts w:ascii="Times New Roman" w:hAnsi="Times New Roman" w:cs="Times New Roman"/>
          <w:b/>
        </w:rPr>
      </w:pPr>
      <w:r>
        <w:rPr>
          <w:rFonts w:ascii="Times New Roman" w:hAnsi="Times New Roman" w:cs="Times New Roman"/>
          <w:b/>
        </w:rPr>
        <w:t>Cenni all’ONU:</w:t>
      </w:r>
      <w:r>
        <w:rPr>
          <w:rFonts w:ascii="Times New Roman" w:hAnsi="Times New Roman" w:cs="Times New Roman"/>
        </w:rPr>
        <w:t xml:space="preserve"> origini e finalità, organi dell’ONU (Assemblea generale, Consiglio di sicurezza, Segretario generale, Corte internazionale di giustizia, Consiglio economico e sociale).</w:t>
      </w:r>
    </w:p>
    <w:p w14:paraId="597CF0C9" w14:textId="6D38B105" w:rsidR="00AE0068" w:rsidRPr="00AE0068" w:rsidRDefault="00AE0068" w:rsidP="00AE0068">
      <w:pPr>
        <w:pStyle w:val="Paragrafoelenco"/>
        <w:numPr>
          <w:ilvl w:val="0"/>
          <w:numId w:val="2"/>
        </w:numPr>
        <w:jc w:val="both"/>
        <w:rPr>
          <w:rFonts w:ascii="Times New Roman" w:hAnsi="Times New Roman" w:cs="Times New Roman"/>
          <w:b/>
        </w:rPr>
      </w:pPr>
      <w:r w:rsidRPr="00AE0068">
        <w:rPr>
          <w:rFonts w:ascii="Times New Roman" w:hAnsi="Times New Roman" w:cs="Times New Roman"/>
          <w:b/>
        </w:rPr>
        <w:t>ATTIVITA’ AMMINISTRATIVA</w:t>
      </w:r>
      <w:r w:rsidR="00CC5796">
        <w:rPr>
          <w:rFonts w:ascii="Times New Roman" w:hAnsi="Times New Roman" w:cs="Times New Roman"/>
          <w:b/>
        </w:rPr>
        <w:t>, AMMINISTRAZIONE DIRETTA E INDIRETTA</w:t>
      </w:r>
      <w:r w:rsidRPr="00AE0068">
        <w:rPr>
          <w:rFonts w:ascii="Times New Roman" w:hAnsi="Times New Roman" w:cs="Times New Roman"/>
          <w:b/>
        </w:rPr>
        <w:t>:</w:t>
      </w:r>
    </w:p>
    <w:p w14:paraId="4CB51F9D" w14:textId="53F97817" w:rsidR="00AE0068" w:rsidRPr="005B199E" w:rsidRDefault="00AE0068" w:rsidP="00AE0068">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L’attività amministrativa: </w:t>
      </w:r>
      <w:r>
        <w:rPr>
          <w:rFonts w:ascii="Times New Roman" w:hAnsi="Times New Roman" w:cs="Times New Roman"/>
        </w:rPr>
        <w:t>definizione, principi dell’attività amministrativa (legalità, buon andamento, imparzialità, trasparenza, decentramento), tipologie di attività amministrativa (attiva, consultiva e di controllo), organizzazione della Pubblica Ammi</w:t>
      </w:r>
      <w:r w:rsidR="005B199E">
        <w:rPr>
          <w:rFonts w:ascii="Times New Roman" w:hAnsi="Times New Roman" w:cs="Times New Roman"/>
        </w:rPr>
        <w:t>nistrazione (diretta e indiretta, amministrazione diretta centrale e periferica, Enti territoriali e Enti Istituzionali);</w:t>
      </w:r>
    </w:p>
    <w:p w14:paraId="709D0C9B" w14:textId="3B6E5250" w:rsidR="005B199E" w:rsidRPr="005B199E" w:rsidRDefault="005B199E" w:rsidP="00AE0068">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L’amministrazione diretta: </w:t>
      </w:r>
      <w:r>
        <w:rPr>
          <w:rFonts w:ascii="Times New Roman" w:hAnsi="Times New Roman" w:cs="Times New Roman"/>
        </w:rPr>
        <w:t>Organi attivi: funzioni e organizzazioni degli organi centrali (Consiglio dei ministri, Presidente del Consiglio dei ministri, Ministri), gli organi periferici (prefetto, Sindaco, cenni agli organi periferici con competenza speciale); Organi consultivi: pareri preventivi e consuntivi, pareri facoltativi, obbligatori e vincolanti, pareri di legittimità e di merito, organi consultivi con competenza generale (Consiglio di Stato e Avvocatura dello Stato), organi consultivi con competenza speciale (Corte dei Conti, CNEL); Organi di controllo (Corte dei Conti e Ragioneria generale dello Stato).</w:t>
      </w:r>
    </w:p>
    <w:p w14:paraId="6B76EAD7" w14:textId="11A2B866" w:rsidR="00CC5796" w:rsidRPr="00CC5796" w:rsidRDefault="005B199E" w:rsidP="00CC5796">
      <w:pPr>
        <w:pStyle w:val="Paragrafoelenco"/>
        <w:numPr>
          <w:ilvl w:val="1"/>
          <w:numId w:val="2"/>
        </w:numPr>
        <w:jc w:val="both"/>
        <w:rPr>
          <w:rFonts w:ascii="Times New Roman" w:hAnsi="Times New Roman" w:cs="Times New Roman"/>
          <w:b/>
        </w:rPr>
      </w:pPr>
      <w:r>
        <w:rPr>
          <w:rFonts w:ascii="Times New Roman" w:hAnsi="Times New Roman" w:cs="Times New Roman"/>
          <w:b/>
        </w:rPr>
        <w:t>L’amministrazione indiretta e gli Enti territoriali:</w:t>
      </w:r>
      <w:r>
        <w:rPr>
          <w:rFonts w:ascii="Times New Roman" w:hAnsi="Times New Roman" w:cs="Times New Roman"/>
        </w:rPr>
        <w:t xml:space="preserve"> Enti territoriali ed Enti Istituzionali; principi costituzionali di decentramento amministrativo, sussidiarietà, autonomia finanziaria e potestà legislativa; le Regioni (regioni a statuto ordinario e regioni a statuto speciale, Organi della regione: Consiglio regionale, Giunta regionale, Presidente della Giunta regionale; sistema elettorale regionale; le funzioni regionali: potestà legislativa, regolamentare, amminis</w:t>
      </w:r>
      <w:r w:rsidR="00CC5796">
        <w:rPr>
          <w:rFonts w:ascii="Times New Roman" w:hAnsi="Times New Roman" w:cs="Times New Roman"/>
        </w:rPr>
        <w:t>trativa e autonomia finanziaria); I Comuni (le autonomie degli enti locali; gli Organi del comune: Consiglio comunale, Giunta comunale, Sindaco; sistema elettorale comunale; l’apparato burocratico del comune e il Segretario comunale; cenni alle Province e ai suoi organi.</w:t>
      </w:r>
    </w:p>
    <w:p w14:paraId="2A88E41E" w14:textId="2CD33DEA" w:rsidR="00CC5796" w:rsidRPr="00CC5796" w:rsidRDefault="00CC5796" w:rsidP="00CC5796">
      <w:pPr>
        <w:pStyle w:val="Paragrafoelenco"/>
        <w:numPr>
          <w:ilvl w:val="0"/>
          <w:numId w:val="2"/>
        </w:numPr>
        <w:jc w:val="both"/>
        <w:rPr>
          <w:rFonts w:ascii="Times New Roman" w:hAnsi="Times New Roman" w:cs="Times New Roman"/>
          <w:b/>
        </w:rPr>
      </w:pPr>
      <w:r w:rsidRPr="00CC5796">
        <w:rPr>
          <w:rFonts w:ascii="Times New Roman" w:hAnsi="Times New Roman" w:cs="Times New Roman"/>
          <w:b/>
        </w:rPr>
        <w:t>ATTI AMMINISTRATIVI E MEZZI DELL’ATTIVITA’ AMMINISTRATIVA</w:t>
      </w:r>
      <w:r>
        <w:rPr>
          <w:rFonts w:ascii="Times New Roman" w:hAnsi="Times New Roman" w:cs="Times New Roman"/>
        </w:rPr>
        <w:t>:</w:t>
      </w:r>
    </w:p>
    <w:p w14:paraId="043CD565" w14:textId="49088846" w:rsidR="00CC5796" w:rsidRPr="00AB0B62" w:rsidRDefault="00AB0B62" w:rsidP="00CC5796">
      <w:pPr>
        <w:pStyle w:val="Paragrafoelenco"/>
        <w:numPr>
          <w:ilvl w:val="1"/>
          <w:numId w:val="2"/>
        </w:numPr>
        <w:jc w:val="both"/>
        <w:rPr>
          <w:rFonts w:ascii="Times New Roman" w:hAnsi="Times New Roman" w:cs="Times New Roman"/>
          <w:b/>
        </w:rPr>
      </w:pPr>
      <w:r>
        <w:rPr>
          <w:rFonts w:ascii="Times New Roman" w:hAnsi="Times New Roman" w:cs="Times New Roman"/>
          <w:b/>
        </w:rPr>
        <w:t xml:space="preserve">Atti e provvedimenti amministrativi: </w:t>
      </w:r>
      <w:r>
        <w:rPr>
          <w:rFonts w:ascii="Times New Roman" w:hAnsi="Times New Roman" w:cs="Times New Roman"/>
        </w:rPr>
        <w:t>atti di diritto pubblico e atti di diritto privato; definizione di atti e di provvedimenti amministrativi; provvedimenti vincolati e discrezionali; elementi essenziali dei provvedimenti amministrativi (soggetto, contenuto, forma, oggetto, causa); caratteri dei provvedimenti amministrativi (unilateralità, imperatività, esecutorietà, inoppugnabilità, revocabilità); provvedimenti estensivi e restrittivi; cenni ai principali provvedimenti estensivi e restrittivi.</w:t>
      </w:r>
    </w:p>
    <w:p w14:paraId="114CC404" w14:textId="7604905B" w:rsidR="00AB0B62" w:rsidRPr="005F0338" w:rsidRDefault="005F0338" w:rsidP="00CC5796">
      <w:pPr>
        <w:pStyle w:val="Paragrafoelenco"/>
        <w:numPr>
          <w:ilvl w:val="1"/>
          <w:numId w:val="2"/>
        </w:numPr>
        <w:jc w:val="both"/>
        <w:rPr>
          <w:rFonts w:ascii="Times New Roman" w:hAnsi="Times New Roman" w:cs="Times New Roman"/>
          <w:b/>
        </w:rPr>
      </w:pPr>
      <w:r>
        <w:rPr>
          <w:rFonts w:ascii="Times New Roman" w:hAnsi="Times New Roman" w:cs="Times New Roman"/>
          <w:b/>
        </w:rPr>
        <w:t>Il procedimento amministrativo:</w:t>
      </w:r>
      <w:r>
        <w:rPr>
          <w:rFonts w:ascii="Times New Roman" w:hAnsi="Times New Roman" w:cs="Times New Roman"/>
        </w:rPr>
        <w:t xml:space="preserve"> definizione e fasi del procedimento (iniziativa, istruttoria, decisione, integrazione dell’efficacia).</w:t>
      </w:r>
    </w:p>
    <w:p w14:paraId="06DD61FB" w14:textId="3711F0CB" w:rsidR="005F0338" w:rsidRPr="005F0338" w:rsidRDefault="005F0338" w:rsidP="00CC5796">
      <w:pPr>
        <w:pStyle w:val="Paragrafoelenco"/>
        <w:numPr>
          <w:ilvl w:val="1"/>
          <w:numId w:val="2"/>
        </w:numPr>
        <w:jc w:val="both"/>
        <w:rPr>
          <w:rFonts w:ascii="Times New Roman" w:hAnsi="Times New Roman" w:cs="Times New Roman"/>
          <w:b/>
        </w:rPr>
      </w:pPr>
      <w:r>
        <w:rPr>
          <w:rFonts w:ascii="Times New Roman" w:hAnsi="Times New Roman" w:cs="Times New Roman"/>
          <w:b/>
        </w:rPr>
        <w:t>L’accesso ai documenti amministrativi:</w:t>
      </w:r>
      <w:r>
        <w:rPr>
          <w:rFonts w:ascii="Times New Roman" w:hAnsi="Times New Roman" w:cs="Times New Roman"/>
        </w:rPr>
        <w:t xml:space="preserve"> obiettivi del diritto di accesso ai documenti amministrativi; interesse all’accesso; accesso formale e informale; modalità di richiesta e di ricorso.</w:t>
      </w:r>
    </w:p>
    <w:p w14:paraId="377BF5BF" w14:textId="278B2E18" w:rsidR="00AC412A" w:rsidRPr="00AC412A" w:rsidRDefault="005F0338" w:rsidP="00AC412A">
      <w:pPr>
        <w:pStyle w:val="Paragrafoelenco"/>
        <w:numPr>
          <w:ilvl w:val="1"/>
          <w:numId w:val="2"/>
        </w:numPr>
        <w:jc w:val="both"/>
        <w:rPr>
          <w:rFonts w:ascii="Times New Roman" w:hAnsi="Times New Roman" w:cs="Times New Roman"/>
          <w:b/>
        </w:rPr>
      </w:pPr>
      <w:r>
        <w:rPr>
          <w:rFonts w:ascii="Times New Roman" w:hAnsi="Times New Roman" w:cs="Times New Roman"/>
          <w:b/>
        </w:rPr>
        <w:t>L’invalidità degli atti amministrativi:</w:t>
      </w:r>
      <w:r>
        <w:rPr>
          <w:rFonts w:ascii="Times New Roman" w:hAnsi="Times New Roman" w:cs="Times New Roman"/>
        </w:rPr>
        <w:t xml:space="preserve"> provvedimento valido, invalido, irregolare; provvedimento nullo e annullabile; nullità del provvedimento (mancanza di elementi essenziali, difetto assoluto di attribuzione (straripamento di potere e incompetenza assoluta), violazione o elusione del giudicato); annullabilità del provvedimento (incompetenza relativa, eccesso di potere, violazione di legge); cenni alle principali forme  di eccesso di potere</w:t>
      </w:r>
      <w:r w:rsidR="00AC412A">
        <w:rPr>
          <w:rFonts w:ascii="Times New Roman" w:hAnsi="Times New Roman" w:cs="Times New Roman"/>
        </w:rPr>
        <w:t>; rimedi giuridici contro i provvedimenti amministrativi invalidi: ritiro, convalescenza e conservazione; cenni alle principali forme di ritiro, convalescenza e conservazione dei provvedimenti amministrativi.</w:t>
      </w:r>
    </w:p>
    <w:p w14:paraId="217412AF" w14:textId="5141AB55" w:rsidR="00AC412A" w:rsidRPr="00270B11" w:rsidRDefault="00AC412A" w:rsidP="00AC412A">
      <w:pPr>
        <w:pStyle w:val="Paragrafoelenco"/>
        <w:numPr>
          <w:ilvl w:val="1"/>
          <w:numId w:val="2"/>
        </w:numPr>
        <w:jc w:val="both"/>
        <w:rPr>
          <w:rFonts w:ascii="Times New Roman" w:hAnsi="Times New Roman" w:cs="Times New Roman"/>
          <w:b/>
        </w:rPr>
      </w:pPr>
      <w:r>
        <w:rPr>
          <w:rFonts w:ascii="Times New Roman" w:hAnsi="Times New Roman" w:cs="Times New Roman"/>
          <w:b/>
        </w:rPr>
        <w:t>Beni e diritti pubblici:</w:t>
      </w:r>
      <w:r>
        <w:rPr>
          <w:rFonts w:ascii="Times New Roman" w:hAnsi="Times New Roman" w:cs="Times New Roman"/>
        </w:rPr>
        <w:t xml:space="preserve"> definizione e caratteri dei beni pubblici; il demanio (definizione, demanio necessario e accidentale, regime particolare dei beni demaniali); il patrimonio (definizione, beni patrimoniali disponibili e indisponibili, regime giuridico dei beni patrimoniali); diritti reali delle PA su beni altrui (</w:t>
      </w:r>
      <w:r w:rsidR="00001847">
        <w:rPr>
          <w:rFonts w:ascii="Times New Roman" w:hAnsi="Times New Roman" w:cs="Times New Roman"/>
        </w:rPr>
        <w:t>diritti demaniali e diritti patrimoniali); meto</w:t>
      </w:r>
      <w:r w:rsidR="00BA2F53">
        <w:rPr>
          <w:rFonts w:ascii="Times New Roman" w:hAnsi="Times New Roman" w:cs="Times New Roman"/>
        </w:rPr>
        <w:t>di di acquisto della proprietà e dei diritti reali da parte delle PA (</w:t>
      </w:r>
      <w:r w:rsidR="00270B11">
        <w:rPr>
          <w:rFonts w:ascii="Times New Roman" w:hAnsi="Times New Roman" w:cs="Times New Roman"/>
        </w:rPr>
        <w:t>ex lege, modi di acquisto di diritto pubblico, modi di acquisto di diritto privato); l’espropriazione per pubblica utilità (criteri costituzionali, procedura di esproprio); cenni agli altri atti ablatori (requisizione e occupazione temporanea) e provvedimenti giudiziari restrittivi (confisca, sequestro amministrativo).</w:t>
      </w:r>
    </w:p>
    <w:p w14:paraId="2735AD2F" w14:textId="42FC06BA" w:rsidR="00270B11" w:rsidRPr="00AB6C03" w:rsidRDefault="00270B11" w:rsidP="00AC412A">
      <w:pPr>
        <w:pStyle w:val="Paragrafoelenco"/>
        <w:numPr>
          <w:ilvl w:val="1"/>
          <w:numId w:val="2"/>
        </w:numPr>
        <w:jc w:val="both"/>
        <w:rPr>
          <w:rFonts w:ascii="Times New Roman" w:hAnsi="Times New Roman" w:cs="Times New Roman"/>
          <w:b/>
        </w:rPr>
      </w:pPr>
      <w:r>
        <w:rPr>
          <w:rFonts w:ascii="Times New Roman" w:hAnsi="Times New Roman" w:cs="Times New Roman"/>
          <w:b/>
        </w:rPr>
        <w:t>I contratti della Pubblica Amministrazione:</w:t>
      </w:r>
      <w:r>
        <w:rPr>
          <w:rFonts w:ascii="Times New Roman" w:hAnsi="Times New Roman" w:cs="Times New Roman"/>
        </w:rPr>
        <w:t xml:space="preserve"> </w:t>
      </w:r>
      <w:r w:rsidR="00AB6C03">
        <w:rPr>
          <w:rFonts w:ascii="Times New Roman" w:hAnsi="Times New Roman" w:cs="Times New Roman"/>
        </w:rPr>
        <w:t>disciplina privata per i contratti delle PA e codice degli appalti; procedura di evidenza pubblica (determina a contrarre, definizione del contenuto, scelta del contraente con o senza bando, aggiudicazione, stipulazione del contratto, approvazione, esecuzione e controllo); le procedure di scelta del contribuente (procedura aperta, ristretta, negoziata).</w:t>
      </w:r>
    </w:p>
    <w:p w14:paraId="05C072AD" w14:textId="77777777" w:rsidR="00AB6C03" w:rsidRPr="00AB6C03" w:rsidRDefault="00AB6C03" w:rsidP="00AB6C03">
      <w:pPr>
        <w:jc w:val="both"/>
        <w:rPr>
          <w:rFonts w:ascii="Times New Roman" w:hAnsi="Times New Roman" w:cs="Times New Roman"/>
          <w:b/>
        </w:rPr>
      </w:pPr>
    </w:p>
    <w:sectPr w:rsidR="00AB6C03" w:rsidRPr="00AB6C03" w:rsidSect="000C52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22C"/>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401A3C"/>
    <w:multiLevelType w:val="multilevel"/>
    <w:tmpl w:val="39B07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55"/>
    <w:rsid w:val="00001847"/>
    <w:rsid w:val="00095706"/>
    <w:rsid w:val="000C523D"/>
    <w:rsid w:val="00270B11"/>
    <w:rsid w:val="005B199E"/>
    <w:rsid w:val="005B62F2"/>
    <w:rsid w:val="005F0338"/>
    <w:rsid w:val="006D5889"/>
    <w:rsid w:val="006F482D"/>
    <w:rsid w:val="00926755"/>
    <w:rsid w:val="00AB0B62"/>
    <w:rsid w:val="00AB6C03"/>
    <w:rsid w:val="00AC412A"/>
    <w:rsid w:val="00AE0068"/>
    <w:rsid w:val="00BA2F53"/>
    <w:rsid w:val="00BD79E8"/>
    <w:rsid w:val="00C7144C"/>
    <w:rsid w:val="00CC5796"/>
    <w:rsid w:val="00E82035"/>
    <w:rsid w:val="00EC6C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6B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675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6D58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6755"/>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6D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7802">
      <w:bodyDiv w:val="1"/>
      <w:marLeft w:val="0"/>
      <w:marRight w:val="0"/>
      <w:marTop w:val="0"/>
      <w:marBottom w:val="0"/>
      <w:divBdr>
        <w:top w:val="none" w:sz="0" w:space="0" w:color="auto"/>
        <w:left w:val="none" w:sz="0" w:space="0" w:color="auto"/>
        <w:bottom w:val="none" w:sz="0" w:space="0" w:color="auto"/>
        <w:right w:val="none" w:sz="0" w:space="0" w:color="auto"/>
      </w:divBdr>
      <w:divsChild>
        <w:div w:id="1035354413">
          <w:marLeft w:val="0"/>
          <w:marRight w:val="0"/>
          <w:marTop w:val="0"/>
          <w:marBottom w:val="0"/>
          <w:divBdr>
            <w:top w:val="none" w:sz="0" w:space="0" w:color="auto"/>
            <w:left w:val="none" w:sz="0" w:space="0" w:color="auto"/>
            <w:bottom w:val="none" w:sz="0" w:space="0" w:color="auto"/>
            <w:right w:val="none" w:sz="0" w:space="0" w:color="auto"/>
          </w:divBdr>
          <w:divsChild>
            <w:div w:id="1048803264">
              <w:marLeft w:val="0"/>
              <w:marRight w:val="0"/>
              <w:marTop w:val="0"/>
              <w:marBottom w:val="0"/>
              <w:divBdr>
                <w:top w:val="none" w:sz="0" w:space="0" w:color="auto"/>
                <w:left w:val="none" w:sz="0" w:space="0" w:color="auto"/>
                <w:bottom w:val="none" w:sz="0" w:space="0" w:color="auto"/>
                <w:right w:val="none" w:sz="0" w:space="0" w:color="auto"/>
              </w:divBdr>
              <w:divsChild>
                <w:div w:id="1543980575">
                  <w:marLeft w:val="0"/>
                  <w:marRight w:val="0"/>
                  <w:marTop w:val="0"/>
                  <w:marBottom w:val="0"/>
                  <w:divBdr>
                    <w:top w:val="none" w:sz="0" w:space="0" w:color="auto"/>
                    <w:left w:val="none" w:sz="0" w:space="0" w:color="auto"/>
                    <w:bottom w:val="none" w:sz="0" w:space="0" w:color="auto"/>
                    <w:right w:val="none" w:sz="0" w:space="0" w:color="auto"/>
                  </w:divBdr>
                </w:div>
              </w:divsChild>
            </w:div>
            <w:div w:id="1533223150">
              <w:marLeft w:val="0"/>
              <w:marRight w:val="0"/>
              <w:marTop w:val="0"/>
              <w:marBottom w:val="0"/>
              <w:divBdr>
                <w:top w:val="none" w:sz="0" w:space="0" w:color="auto"/>
                <w:left w:val="none" w:sz="0" w:space="0" w:color="auto"/>
                <w:bottom w:val="none" w:sz="0" w:space="0" w:color="auto"/>
                <w:right w:val="none" w:sz="0" w:space="0" w:color="auto"/>
              </w:divBdr>
              <w:divsChild>
                <w:div w:id="721103874">
                  <w:marLeft w:val="0"/>
                  <w:marRight w:val="0"/>
                  <w:marTop w:val="0"/>
                  <w:marBottom w:val="0"/>
                  <w:divBdr>
                    <w:top w:val="none" w:sz="0" w:space="0" w:color="auto"/>
                    <w:left w:val="none" w:sz="0" w:space="0" w:color="auto"/>
                    <w:bottom w:val="none" w:sz="0" w:space="0" w:color="auto"/>
                    <w:right w:val="none" w:sz="0" w:space="0" w:color="auto"/>
                  </w:divBdr>
                </w:div>
              </w:divsChild>
            </w:div>
            <w:div w:id="703091082">
              <w:marLeft w:val="0"/>
              <w:marRight w:val="0"/>
              <w:marTop w:val="0"/>
              <w:marBottom w:val="0"/>
              <w:divBdr>
                <w:top w:val="none" w:sz="0" w:space="0" w:color="auto"/>
                <w:left w:val="none" w:sz="0" w:space="0" w:color="auto"/>
                <w:bottom w:val="none" w:sz="0" w:space="0" w:color="auto"/>
                <w:right w:val="none" w:sz="0" w:space="0" w:color="auto"/>
              </w:divBdr>
              <w:divsChild>
                <w:div w:id="15067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8224">
          <w:marLeft w:val="0"/>
          <w:marRight w:val="0"/>
          <w:marTop w:val="0"/>
          <w:marBottom w:val="0"/>
          <w:divBdr>
            <w:top w:val="none" w:sz="0" w:space="0" w:color="auto"/>
            <w:left w:val="none" w:sz="0" w:space="0" w:color="auto"/>
            <w:bottom w:val="none" w:sz="0" w:space="0" w:color="auto"/>
            <w:right w:val="none" w:sz="0" w:space="0" w:color="auto"/>
          </w:divBdr>
          <w:divsChild>
            <w:div w:id="1352297473">
              <w:marLeft w:val="0"/>
              <w:marRight w:val="0"/>
              <w:marTop w:val="0"/>
              <w:marBottom w:val="0"/>
              <w:divBdr>
                <w:top w:val="none" w:sz="0" w:space="0" w:color="auto"/>
                <w:left w:val="none" w:sz="0" w:space="0" w:color="auto"/>
                <w:bottom w:val="none" w:sz="0" w:space="0" w:color="auto"/>
                <w:right w:val="none" w:sz="0" w:space="0" w:color="auto"/>
              </w:divBdr>
              <w:divsChild>
                <w:div w:id="16774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2255">
      <w:bodyDiv w:val="1"/>
      <w:marLeft w:val="0"/>
      <w:marRight w:val="0"/>
      <w:marTop w:val="0"/>
      <w:marBottom w:val="0"/>
      <w:divBdr>
        <w:top w:val="none" w:sz="0" w:space="0" w:color="auto"/>
        <w:left w:val="none" w:sz="0" w:space="0" w:color="auto"/>
        <w:bottom w:val="none" w:sz="0" w:space="0" w:color="auto"/>
        <w:right w:val="none" w:sz="0" w:space="0" w:color="auto"/>
      </w:divBdr>
      <w:divsChild>
        <w:div w:id="2015261277">
          <w:marLeft w:val="0"/>
          <w:marRight w:val="0"/>
          <w:marTop w:val="0"/>
          <w:marBottom w:val="0"/>
          <w:divBdr>
            <w:top w:val="none" w:sz="0" w:space="0" w:color="auto"/>
            <w:left w:val="none" w:sz="0" w:space="0" w:color="auto"/>
            <w:bottom w:val="none" w:sz="0" w:space="0" w:color="auto"/>
            <w:right w:val="none" w:sz="0" w:space="0" w:color="auto"/>
          </w:divBdr>
          <w:divsChild>
            <w:div w:id="1597058975">
              <w:marLeft w:val="0"/>
              <w:marRight w:val="0"/>
              <w:marTop w:val="0"/>
              <w:marBottom w:val="0"/>
              <w:divBdr>
                <w:top w:val="none" w:sz="0" w:space="0" w:color="auto"/>
                <w:left w:val="none" w:sz="0" w:space="0" w:color="auto"/>
                <w:bottom w:val="none" w:sz="0" w:space="0" w:color="auto"/>
                <w:right w:val="none" w:sz="0" w:space="0" w:color="auto"/>
              </w:divBdr>
              <w:divsChild>
                <w:div w:id="9778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1641</Words>
  <Characters>9358</Characters>
  <Application>Microsoft Macintosh Word</Application>
  <DocSecurity>0</DocSecurity>
  <Lines>77</Lines>
  <Paragraphs>21</Paragraphs>
  <ScaleCrop>false</ScaleCrop>
  <Company>STUDIO FAVARON</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FAVARON</dc:creator>
  <cp:keywords/>
  <dc:description/>
  <cp:lastModifiedBy>MASSIMO FAVARON</cp:lastModifiedBy>
  <cp:revision>10</cp:revision>
  <dcterms:created xsi:type="dcterms:W3CDTF">2017-04-30T15:46:00Z</dcterms:created>
  <dcterms:modified xsi:type="dcterms:W3CDTF">2017-05-02T16:06:00Z</dcterms:modified>
</cp:coreProperties>
</file>