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69120" w14:textId="77777777" w:rsidR="0029241C" w:rsidRDefault="00926755" w:rsidP="0029241C">
      <w:pPr>
        <w:pStyle w:val="NormaleWeb"/>
        <w:spacing w:line="240" w:lineRule="atLeast"/>
        <w:contextualSpacing/>
        <w:jc w:val="center"/>
        <w:rPr>
          <w:rFonts w:ascii="Times New Roman" w:hAnsi="Times New Roman"/>
          <w:b/>
          <w:sz w:val="24"/>
          <w:szCs w:val="24"/>
        </w:rPr>
      </w:pPr>
      <w:r w:rsidRPr="0029241C">
        <w:rPr>
          <w:rFonts w:ascii="Times New Roman" w:hAnsi="Times New Roman"/>
          <w:b/>
          <w:sz w:val="24"/>
          <w:szCs w:val="24"/>
        </w:rPr>
        <w:t>ANNO SCOLASTICO 2016/2017  - CLASSE 5A AFM</w:t>
      </w:r>
    </w:p>
    <w:p w14:paraId="6F1672A7" w14:textId="77777777" w:rsidR="0029241C" w:rsidRPr="0029241C" w:rsidRDefault="0029241C" w:rsidP="0029241C">
      <w:pPr>
        <w:pStyle w:val="NormaleWeb"/>
        <w:spacing w:line="240" w:lineRule="atLeast"/>
        <w:contextualSpacing/>
        <w:jc w:val="center"/>
        <w:rPr>
          <w:rFonts w:ascii="Times New Roman" w:hAnsi="Times New Roman"/>
          <w:b/>
          <w:sz w:val="24"/>
          <w:szCs w:val="24"/>
        </w:rPr>
      </w:pPr>
    </w:p>
    <w:p w14:paraId="0F451658" w14:textId="6876E231" w:rsidR="0029241C" w:rsidRDefault="0017395E" w:rsidP="0029241C">
      <w:pPr>
        <w:pStyle w:val="NormaleWeb"/>
        <w:spacing w:line="240" w:lineRule="atLeast"/>
        <w:contextualSpacing/>
        <w:jc w:val="center"/>
        <w:rPr>
          <w:rFonts w:ascii="Times New Roman" w:hAnsi="Times New Roman"/>
          <w:b/>
          <w:sz w:val="24"/>
          <w:szCs w:val="24"/>
        </w:rPr>
      </w:pPr>
      <w:r>
        <w:rPr>
          <w:rFonts w:ascii="Times New Roman" w:hAnsi="Times New Roman"/>
          <w:b/>
          <w:sz w:val="24"/>
          <w:szCs w:val="24"/>
        </w:rPr>
        <w:t>ECONOMIA POLITICA (SCIENZE DELLE FINANZE)</w:t>
      </w:r>
    </w:p>
    <w:p w14:paraId="54021618" w14:textId="77777777" w:rsidR="0029241C" w:rsidRDefault="0029241C" w:rsidP="0029241C">
      <w:pPr>
        <w:pStyle w:val="NormaleWeb"/>
        <w:spacing w:line="240" w:lineRule="atLeast"/>
        <w:contextualSpacing/>
        <w:jc w:val="center"/>
        <w:rPr>
          <w:rFonts w:ascii="Times New Roman" w:hAnsi="Times New Roman"/>
          <w:b/>
          <w:sz w:val="24"/>
          <w:szCs w:val="24"/>
        </w:rPr>
      </w:pPr>
    </w:p>
    <w:p w14:paraId="4B396C00" w14:textId="77777777" w:rsidR="0029241C" w:rsidRPr="0029241C" w:rsidRDefault="0029241C" w:rsidP="0029241C">
      <w:pPr>
        <w:pStyle w:val="NormaleWeb"/>
        <w:spacing w:line="240" w:lineRule="atLeast"/>
        <w:contextualSpacing/>
        <w:jc w:val="center"/>
        <w:rPr>
          <w:rFonts w:ascii="Times New Roman" w:hAnsi="Times New Roman"/>
          <w:b/>
          <w:sz w:val="24"/>
          <w:szCs w:val="24"/>
        </w:rPr>
      </w:pPr>
    </w:p>
    <w:p w14:paraId="4B16C905" w14:textId="77777777" w:rsidR="00926755" w:rsidRPr="00926755" w:rsidRDefault="00926755" w:rsidP="0029241C">
      <w:pPr>
        <w:pStyle w:val="NormaleWeb"/>
        <w:contextualSpacing/>
        <w:jc w:val="both"/>
        <w:rPr>
          <w:rFonts w:ascii="Times New Roman" w:hAnsi="Times New Roman"/>
          <w:b/>
          <w:sz w:val="24"/>
          <w:szCs w:val="24"/>
        </w:rPr>
      </w:pPr>
      <w:r w:rsidRPr="00926755">
        <w:rPr>
          <w:rFonts w:ascii="Times New Roman" w:hAnsi="Times New Roman"/>
          <w:b/>
          <w:sz w:val="24"/>
          <w:szCs w:val="24"/>
        </w:rPr>
        <w:t>Docente: Massimo Favaron</w:t>
      </w:r>
    </w:p>
    <w:p w14:paraId="442AA074" w14:textId="77777777" w:rsidR="00926755" w:rsidRDefault="00926755" w:rsidP="0029241C">
      <w:pPr>
        <w:pStyle w:val="NormaleWeb"/>
        <w:contextualSpacing/>
        <w:jc w:val="both"/>
        <w:rPr>
          <w:rFonts w:ascii="Times New Roman" w:hAnsi="Times New Roman"/>
          <w:b/>
          <w:sz w:val="24"/>
          <w:szCs w:val="24"/>
        </w:rPr>
      </w:pPr>
      <w:r w:rsidRPr="00926755">
        <w:rPr>
          <w:rFonts w:ascii="Times New Roman" w:hAnsi="Times New Roman"/>
          <w:b/>
          <w:sz w:val="24"/>
          <w:szCs w:val="24"/>
        </w:rPr>
        <w:t xml:space="preserve">Libro di testo: </w:t>
      </w:r>
      <w:r w:rsidR="0017395E">
        <w:rPr>
          <w:rFonts w:ascii="Times New Roman" w:hAnsi="Times New Roman"/>
          <w:b/>
          <w:sz w:val="24"/>
          <w:szCs w:val="24"/>
        </w:rPr>
        <w:t>Economia e finanza pubblica – Vinci Orlando – Ediz. Tramontana</w:t>
      </w:r>
      <w:r w:rsidRPr="00926755">
        <w:rPr>
          <w:rFonts w:ascii="Times New Roman" w:hAnsi="Times New Roman"/>
          <w:b/>
          <w:sz w:val="24"/>
          <w:szCs w:val="24"/>
        </w:rPr>
        <w:t xml:space="preserve"> </w:t>
      </w:r>
    </w:p>
    <w:p w14:paraId="325A619A" w14:textId="77777777" w:rsidR="0017395E" w:rsidRPr="00926755" w:rsidRDefault="0017395E" w:rsidP="00926755">
      <w:pPr>
        <w:pStyle w:val="NormaleWeb"/>
        <w:jc w:val="both"/>
        <w:rPr>
          <w:rFonts w:ascii="Times New Roman" w:hAnsi="Times New Roman"/>
          <w:b/>
          <w:sz w:val="24"/>
          <w:szCs w:val="24"/>
        </w:rPr>
      </w:pPr>
    </w:p>
    <w:p w14:paraId="505F1428" w14:textId="77777777" w:rsidR="00926755" w:rsidRPr="0017395E" w:rsidRDefault="0017395E" w:rsidP="00926755">
      <w:pPr>
        <w:pStyle w:val="NormaleWeb"/>
        <w:jc w:val="both"/>
        <w:rPr>
          <w:rFonts w:ascii="Times New Roman" w:hAnsi="Times New Roman"/>
          <w:b/>
          <w:sz w:val="24"/>
          <w:szCs w:val="24"/>
        </w:rPr>
      </w:pPr>
      <w:r w:rsidRPr="00926755">
        <w:rPr>
          <w:rFonts w:ascii="Times New Roman" w:hAnsi="Times New Roman"/>
          <w:b/>
          <w:sz w:val="24"/>
          <w:szCs w:val="24"/>
        </w:rPr>
        <w:t>Relazione metodologico-didattica:</w:t>
      </w:r>
    </w:p>
    <w:p w14:paraId="7ED5044C" w14:textId="7B40179B" w:rsidR="00FA3C7B" w:rsidRDefault="00FA3C7B" w:rsidP="00FA3C7B">
      <w:pPr>
        <w:pStyle w:val="NormaleWeb"/>
        <w:jc w:val="both"/>
        <w:rPr>
          <w:rFonts w:ascii="Times New Roman" w:hAnsi="Times New Roman"/>
          <w:sz w:val="24"/>
          <w:szCs w:val="24"/>
        </w:rPr>
      </w:pPr>
      <w:r>
        <w:rPr>
          <w:rFonts w:ascii="Times New Roman" w:hAnsi="Times New Roman"/>
          <w:sz w:val="24"/>
          <w:szCs w:val="24"/>
        </w:rPr>
        <w:t>Nel corso selle lezioni si è</w:t>
      </w:r>
      <w:r w:rsidRPr="00926755">
        <w:rPr>
          <w:rFonts w:ascii="Times New Roman" w:hAnsi="Times New Roman"/>
          <w:sz w:val="24"/>
          <w:szCs w:val="24"/>
        </w:rPr>
        <w:t xml:space="preserve"> privilegiato un approccio di tipo problematico alla disciplina al fine di sviluppare negli allievi la capacità di argomentazione e di rielaborazione personale e critica dei contenuti. Pertanto </w:t>
      </w:r>
      <w:r>
        <w:rPr>
          <w:rFonts w:ascii="Times New Roman" w:hAnsi="Times New Roman"/>
          <w:sz w:val="24"/>
          <w:szCs w:val="24"/>
        </w:rPr>
        <w:t>l’insegnante</w:t>
      </w:r>
      <w:r w:rsidRPr="00926755">
        <w:rPr>
          <w:rFonts w:ascii="Times New Roman" w:hAnsi="Times New Roman"/>
          <w:sz w:val="24"/>
          <w:szCs w:val="24"/>
        </w:rPr>
        <w:t xml:space="preserve"> della materia </w:t>
      </w:r>
      <w:r>
        <w:rPr>
          <w:rFonts w:ascii="Times New Roman" w:hAnsi="Times New Roman"/>
          <w:sz w:val="24"/>
          <w:szCs w:val="24"/>
        </w:rPr>
        <w:t>ha improntato la lezione in maniera prevalentemente</w:t>
      </w:r>
      <w:r w:rsidRPr="00926755">
        <w:rPr>
          <w:rFonts w:ascii="Times New Roman" w:hAnsi="Times New Roman"/>
          <w:sz w:val="24"/>
          <w:szCs w:val="24"/>
        </w:rPr>
        <w:t xml:space="preserve"> </w:t>
      </w:r>
      <w:r>
        <w:rPr>
          <w:rFonts w:ascii="Times New Roman" w:hAnsi="Times New Roman"/>
          <w:sz w:val="24"/>
          <w:szCs w:val="24"/>
        </w:rPr>
        <w:t>partecipata</w:t>
      </w:r>
      <w:r w:rsidRPr="00926755">
        <w:rPr>
          <w:rFonts w:ascii="Times New Roman" w:hAnsi="Times New Roman"/>
          <w:sz w:val="24"/>
          <w:szCs w:val="24"/>
        </w:rPr>
        <w:t>, accompagnata da rif</w:t>
      </w:r>
      <w:r>
        <w:rPr>
          <w:rFonts w:ascii="Times New Roman" w:hAnsi="Times New Roman"/>
          <w:sz w:val="24"/>
          <w:szCs w:val="24"/>
        </w:rPr>
        <w:t xml:space="preserve">erimenti a situazioni concrete e con il coinvolgimento diretto degli studenti. </w:t>
      </w:r>
      <w:r w:rsidRPr="00926755">
        <w:rPr>
          <w:rFonts w:ascii="Times New Roman" w:hAnsi="Times New Roman"/>
          <w:sz w:val="24"/>
          <w:szCs w:val="24"/>
        </w:rPr>
        <w:t xml:space="preserve">Sono inoltre state </w:t>
      </w:r>
      <w:r>
        <w:rPr>
          <w:rFonts w:ascii="Times New Roman" w:hAnsi="Times New Roman"/>
          <w:sz w:val="24"/>
          <w:szCs w:val="24"/>
        </w:rPr>
        <w:t xml:space="preserve">impiegate di frequente domande come </w:t>
      </w:r>
      <w:r w:rsidRPr="00926755">
        <w:rPr>
          <w:rFonts w:ascii="Times New Roman" w:hAnsi="Times New Roman"/>
          <w:sz w:val="24"/>
          <w:szCs w:val="24"/>
        </w:rPr>
        <w:t xml:space="preserve">stimolo per introdurre una discussione con la quale gli allievi sono stati </w:t>
      </w:r>
      <w:r>
        <w:rPr>
          <w:rFonts w:ascii="Times New Roman" w:hAnsi="Times New Roman"/>
          <w:sz w:val="24"/>
          <w:szCs w:val="24"/>
        </w:rPr>
        <w:t xml:space="preserve">invitati ad esprimere </w:t>
      </w:r>
      <w:r w:rsidRPr="00926755">
        <w:rPr>
          <w:rFonts w:ascii="Times New Roman" w:hAnsi="Times New Roman"/>
          <w:sz w:val="24"/>
          <w:szCs w:val="24"/>
        </w:rPr>
        <w:t>propri</w:t>
      </w:r>
      <w:r>
        <w:rPr>
          <w:rFonts w:ascii="Times New Roman" w:hAnsi="Times New Roman"/>
          <w:sz w:val="24"/>
          <w:szCs w:val="24"/>
        </w:rPr>
        <w:t>e riflessioni</w:t>
      </w:r>
      <w:r w:rsidRPr="00926755">
        <w:rPr>
          <w:rFonts w:ascii="Times New Roman" w:hAnsi="Times New Roman"/>
          <w:sz w:val="24"/>
          <w:szCs w:val="24"/>
        </w:rPr>
        <w:t xml:space="preserve"> </w:t>
      </w:r>
      <w:r>
        <w:rPr>
          <w:rFonts w:ascii="Times New Roman" w:hAnsi="Times New Roman"/>
          <w:sz w:val="24"/>
          <w:szCs w:val="24"/>
        </w:rPr>
        <w:t>personali, motivandole</w:t>
      </w:r>
      <w:r w:rsidRPr="00926755">
        <w:rPr>
          <w:rFonts w:ascii="Times New Roman" w:hAnsi="Times New Roman"/>
          <w:sz w:val="24"/>
          <w:szCs w:val="24"/>
        </w:rPr>
        <w:t xml:space="preserve">. Partendo dall'analisi rigorosa dei concetti fondamentali </w:t>
      </w:r>
      <w:r w:rsidR="003C6FDA">
        <w:rPr>
          <w:rFonts w:ascii="Times New Roman" w:hAnsi="Times New Roman"/>
          <w:sz w:val="24"/>
          <w:szCs w:val="24"/>
        </w:rPr>
        <w:t>della scienza delle finanze</w:t>
      </w:r>
      <w:bookmarkStart w:id="0" w:name="_GoBack"/>
      <w:bookmarkEnd w:id="0"/>
      <w:r w:rsidRPr="00926755">
        <w:rPr>
          <w:rFonts w:ascii="Times New Roman" w:hAnsi="Times New Roman"/>
          <w:sz w:val="24"/>
          <w:szCs w:val="24"/>
        </w:rPr>
        <w:t xml:space="preserve">, si è cercato di fornire agli studenti un quadro completo dei diversi istituti giuridici sia dal punto di vista di una corretta interpretazione, sia da quello di una loro concreta applicazione alla realtà sociale. </w:t>
      </w:r>
      <w:r>
        <w:rPr>
          <w:rFonts w:ascii="Times New Roman" w:hAnsi="Times New Roman"/>
          <w:sz w:val="24"/>
          <w:szCs w:val="24"/>
        </w:rPr>
        <w:t xml:space="preserve">Nel corso dell’anno si sono più volte integrate le lezioni di tipo tradizionale con l’analisi di testi, articoli di giornale e documentazioni pubbliche reali, al fine di consapevolizzare gli studenti che gli argomenti del programma di studio sono oggetto di continua evoluzione temporale e soprattutto per creare uno stretto legame tra quanto studiato ed il mondo della realtà. </w:t>
      </w:r>
    </w:p>
    <w:p w14:paraId="5FE1DF0F" w14:textId="66BA5AA3" w:rsidR="008C4C89" w:rsidRPr="00FA3C7B" w:rsidRDefault="00FA3C7B" w:rsidP="00FA3C7B">
      <w:pPr>
        <w:pStyle w:val="NormaleWeb"/>
        <w:jc w:val="both"/>
        <w:rPr>
          <w:rFonts w:ascii="Times New Roman" w:hAnsi="Times New Roman"/>
          <w:sz w:val="24"/>
          <w:szCs w:val="24"/>
        </w:rPr>
      </w:pPr>
      <w:r w:rsidRPr="00926755">
        <w:rPr>
          <w:rFonts w:ascii="Times New Roman" w:hAnsi="Times New Roman"/>
          <w:sz w:val="24"/>
          <w:szCs w:val="24"/>
        </w:rPr>
        <w:t>La valutazione degli studenti è stata eff</w:t>
      </w:r>
      <w:r>
        <w:rPr>
          <w:rFonts w:ascii="Times New Roman" w:hAnsi="Times New Roman"/>
          <w:sz w:val="24"/>
          <w:szCs w:val="24"/>
        </w:rPr>
        <w:t xml:space="preserve">ettuata sia attraverso </w:t>
      </w:r>
      <w:r w:rsidRPr="00926755">
        <w:rPr>
          <w:rFonts w:ascii="Times New Roman" w:hAnsi="Times New Roman"/>
          <w:sz w:val="24"/>
          <w:szCs w:val="24"/>
        </w:rPr>
        <w:t>prove orali, in forma di colloquio, sia attraverso prove scritte, simili alla tipologia di terza prova dell'Esame di S</w:t>
      </w:r>
      <w:r>
        <w:rPr>
          <w:rFonts w:ascii="Times New Roman" w:hAnsi="Times New Roman"/>
          <w:sz w:val="24"/>
          <w:szCs w:val="24"/>
        </w:rPr>
        <w:t xml:space="preserve">tato: "trattazione sintetica di </w:t>
      </w:r>
      <w:r w:rsidRPr="00926755">
        <w:rPr>
          <w:rFonts w:ascii="Times New Roman" w:hAnsi="Times New Roman"/>
          <w:sz w:val="24"/>
          <w:szCs w:val="24"/>
        </w:rPr>
        <w:t>argoment</w:t>
      </w:r>
      <w:r>
        <w:rPr>
          <w:rFonts w:ascii="Times New Roman" w:hAnsi="Times New Roman"/>
          <w:sz w:val="24"/>
          <w:szCs w:val="24"/>
        </w:rPr>
        <w:t>i" e "quesiti a risposta aperta singola</w:t>
      </w:r>
      <w:r w:rsidRPr="00926755">
        <w:rPr>
          <w:rFonts w:ascii="Times New Roman" w:hAnsi="Times New Roman"/>
          <w:sz w:val="24"/>
          <w:szCs w:val="24"/>
        </w:rPr>
        <w:t xml:space="preserve">". Le verifiche sono state finalizzate ad accertare l'acquisizione dei </w:t>
      </w:r>
      <w:r>
        <w:rPr>
          <w:rFonts w:ascii="Times New Roman" w:hAnsi="Times New Roman"/>
          <w:sz w:val="24"/>
          <w:szCs w:val="24"/>
        </w:rPr>
        <w:t>temi trattati, sia "in itinere"</w:t>
      </w:r>
      <w:r w:rsidRPr="00926755">
        <w:rPr>
          <w:rFonts w:ascii="Times New Roman" w:hAnsi="Times New Roman"/>
          <w:sz w:val="24"/>
          <w:szCs w:val="24"/>
        </w:rPr>
        <w:t xml:space="preserve"> che a</w:t>
      </w:r>
      <w:r>
        <w:rPr>
          <w:rFonts w:ascii="Times New Roman" w:hAnsi="Times New Roman"/>
          <w:sz w:val="24"/>
          <w:szCs w:val="24"/>
        </w:rPr>
        <w:t>l termine del percorso modulare, allo scopo di accertare l’acquisizione delle competenze e delle abilità richieste dalla disciplina.</w:t>
      </w:r>
    </w:p>
    <w:p w14:paraId="193C496F" w14:textId="77777777" w:rsidR="008C4C89" w:rsidRDefault="008C4C89" w:rsidP="0017395E">
      <w:pPr>
        <w:jc w:val="both"/>
        <w:rPr>
          <w:rFonts w:ascii="Times New Roman" w:hAnsi="Times New Roman"/>
        </w:rPr>
      </w:pPr>
    </w:p>
    <w:p w14:paraId="38D9F793" w14:textId="78FC86D8" w:rsidR="008C4C89" w:rsidRDefault="008C4C89" w:rsidP="0017395E">
      <w:pPr>
        <w:jc w:val="both"/>
        <w:rPr>
          <w:rFonts w:ascii="Times New Roman" w:hAnsi="Times New Roman"/>
          <w:b/>
        </w:rPr>
      </w:pPr>
      <w:r w:rsidRPr="008C4C89">
        <w:rPr>
          <w:rFonts w:ascii="Times New Roman" w:hAnsi="Times New Roman"/>
          <w:b/>
        </w:rPr>
        <w:t>Programma svolto:</w:t>
      </w:r>
    </w:p>
    <w:p w14:paraId="7A4AE011" w14:textId="77777777" w:rsidR="00727EB4" w:rsidRDefault="00727EB4" w:rsidP="0017395E">
      <w:pPr>
        <w:jc w:val="both"/>
        <w:rPr>
          <w:rFonts w:ascii="Times New Roman" w:hAnsi="Times New Roman"/>
          <w:b/>
        </w:rPr>
      </w:pPr>
    </w:p>
    <w:p w14:paraId="38577096" w14:textId="6027BB24" w:rsidR="00727EB4" w:rsidRPr="00727EB4" w:rsidRDefault="00727EB4" w:rsidP="00727EB4">
      <w:pPr>
        <w:pStyle w:val="Paragrafoelenco"/>
        <w:numPr>
          <w:ilvl w:val="0"/>
          <w:numId w:val="3"/>
        </w:numPr>
        <w:jc w:val="both"/>
        <w:rPr>
          <w:rFonts w:ascii="Times New Roman" w:hAnsi="Times New Roman"/>
          <w:b/>
        </w:rPr>
      </w:pPr>
      <w:r w:rsidRPr="00727EB4">
        <w:rPr>
          <w:rFonts w:ascii="Times New Roman" w:hAnsi="Times New Roman"/>
          <w:b/>
        </w:rPr>
        <w:t>STRUMENTI E FUNZIONI DELLA POLITICA ECONOMICA</w:t>
      </w:r>
      <w:r>
        <w:rPr>
          <w:rFonts w:ascii="Times New Roman" w:hAnsi="Times New Roman"/>
          <w:b/>
        </w:rPr>
        <w:t>:</w:t>
      </w:r>
    </w:p>
    <w:p w14:paraId="123F906C" w14:textId="77777777" w:rsidR="00727EB4" w:rsidRPr="00727EB4" w:rsidRDefault="008C4C89" w:rsidP="00727EB4">
      <w:pPr>
        <w:pStyle w:val="Paragrafoelenco"/>
        <w:numPr>
          <w:ilvl w:val="1"/>
          <w:numId w:val="3"/>
        </w:numPr>
        <w:jc w:val="both"/>
        <w:rPr>
          <w:rFonts w:ascii="Times New Roman" w:hAnsi="Times New Roman"/>
          <w:b/>
        </w:rPr>
      </w:pPr>
      <w:r w:rsidRPr="00727EB4">
        <w:rPr>
          <w:rFonts w:ascii="Times New Roman" w:hAnsi="Times New Roman" w:cs="Times New Roman"/>
          <w:b/>
        </w:rPr>
        <w:t>Economia pubblica e politica economica</w:t>
      </w:r>
      <w:r w:rsidRPr="00727EB4">
        <w:rPr>
          <w:rFonts w:ascii="Times New Roman" w:hAnsi="Times New Roman" w:cs="Times New Roman"/>
        </w:rPr>
        <w:t xml:space="preserve">: concetti base di finanza pubblica; correnti di pensiero sull’intervento pubblico dello Stato (scuola classica e scuola Keynesiana); </w:t>
      </w:r>
      <w:r w:rsidR="00727EB4" w:rsidRPr="00727EB4">
        <w:rPr>
          <w:rFonts w:ascii="Times New Roman" w:hAnsi="Times New Roman" w:cs="Times New Roman"/>
        </w:rPr>
        <w:t>principali ragioni dell’intervento pubblico nell’economia (efficienza, equità, stabilità, sviluppo).</w:t>
      </w:r>
    </w:p>
    <w:p w14:paraId="0671F17E" w14:textId="77777777" w:rsidR="00727EB4" w:rsidRPr="00727EB4" w:rsidRDefault="00727EB4" w:rsidP="00727EB4">
      <w:pPr>
        <w:pStyle w:val="Paragrafoelenco"/>
        <w:numPr>
          <w:ilvl w:val="1"/>
          <w:numId w:val="3"/>
        </w:numPr>
        <w:jc w:val="both"/>
        <w:rPr>
          <w:rFonts w:ascii="Times New Roman" w:hAnsi="Times New Roman"/>
          <w:b/>
        </w:rPr>
      </w:pPr>
      <w:r w:rsidRPr="00727EB4">
        <w:rPr>
          <w:rFonts w:ascii="Times New Roman" w:hAnsi="Times New Roman" w:cs="Times New Roman"/>
          <w:b/>
        </w:rPr>
        <w:t>Gli strumenti della politica economica</w:t>
      </w:r>
      <w:r w:rsidRPr="00727EB4">
        <w:rPr>
          <w:rFonts w:ascii="Times New Roman" w:hAnsi="Times New Roman" w:cs="Times New Roman"/>
        </w:rPr>
        <w:t>: politica fiscale; politica monetaria; regolazione; imprese pubbliche; demanio e patrimonio.</w:t>
      </w:r>
    </w:p>
    <w:p w14:paraId="4FF73127" w14:textId="67DA3E6C" w:rsidR="00727EB4" w:rsidRPr="0011189D" w:rsidRDefault="00727EB4" w:rsidP="00727EB4">
      <w:pPr>
        <w:pStyle w:val="Paragrafoelenco"/>
        <w:numPr>
          <w:ilvl w:val="1"/>
          <w:numId w:val="3"/>
        </w:numPr>
        <w:jc w:val="both"/>
        <w:rPr>
          <w:rFonts w:ascii="Times New Roman" w:hAnsi="Times New Roman"/>
          <w:b/>
        </w:rPr>
      </w:pPr>
      <w:r w:rsidRPr="00727EB4">
        <w:rPr>
          <w:rFonts w:ascii="Times New Roman" w:hAnsi="Times New Roman" w:cs="Times New Roman"/>
          <w:b/>
        </w:rPr>
        <w:t>Funzioni della politica economica</w:t>
      </w:r>
      <w:r w:rsidRPr="00727EB4">
        <w:rPr>
          <w:rFonts w:ascii="Times New Roman" w:hAnsi="Times New Roman" w:cs="Times New Roman"/>
        </w:rPr>
        <w:t>: allocazione delle risorse e fallimenti del mercato (beni pubblici puri, esternalità, beni di merito, situazioni di mon</w:t>
      </w:r>
      <w:r>
        <w:rPr>
          <w:rFonts w:ascii="Times New Roman" w:hAnsi="Times New Roman" w:cs="Times New Roman"/>
        </w:rPr>
        <w:t>opolio, asimmetrie informative);</w:t>
      </w:r>
      <w:r w:rsidR="0011189D">
        <w:rPr>
          <w:rFonts w:ascii="Times New Roman" w:hAnsi="Times New Roman"/>
        </w:rPr>
        <w:t xml:space="preserve"> redistribuzione (scopi e modalità di intervento); stabilizzazione (cenni al concetto di fluttuazioni cicliche, effetti delle fluttuazioni sulle principali variabili macroeconomiche, scopi e modalità di intervento); sviluppo (scopi e modalità di intervento).</w:t>
      </w:r>
    </w:p>
    <w:p w14:paraId="66CD2A3C" w14:textId="5A2DE757" w:rsidR="0011189D" w:rsidRPr="0011189D" w:rsidRDefault="0011189D" w:rsidP="0011189D">
      <w:pPr>
        <w:pStyle w:val="Paragrafoelenco"/>
        <w:numPr>
          <w:ilvl w:val="0"/>
          <w:numId w:val="3"/>
        </w:numPr>
        <w:jc w:val="both"/>
        <w:rPr>
          <w:rFonts w:ascii="Times New Roman" w:hAnsi="Times New Roman"/>
          <w:b/>
        </w:rPr>
      </w:pPr>
      <w:r w:rsidRPr="0011189D">
        <w:rPr>
          <w:rFonts w:ascii="Times New Roman" w:hAnsi="Times New Roman"/>
          <w:b/>
        </w:rPr>
        <w:t>LA FINANZA PUBBLICA COME STRUMENTO DI POLITICA ECONOMICA:</w:t>
      </w:r>
    </w:p>
    <w:p w14:paraId="3A99B463" w14:textId="48A7CEB1" w:rsidR="0011189D" w:rsidRPr="0011189D" w:rsidRDefault="0011189D" w:rsidP="0011189D">
      <w:pPr>
        <w:pStyle w:val="Paragrafoelenco"/>
        <w:numPr>
          <w:ilvl w:val="1"/>
          <w:numId w:val="3"/>
        </w:numPr>
        <w:jc w:val="both"/>
        <w:rPr>
          <w:rFonts w:ascii="Times New Roman" w:hAnsi="Times New Roman"/>
          <w:b/>
        </w:rPr>
      </w:pPr>
      <w:r>
        <w:rPr>
          <w:rFonts w:ascii="Times New Roman" w:hAnsi="Times New Roman"/>
          <w:b/>
        </w:rPr>
        <w:t xml:space="preserve">Le Amministrazioni pubbliche: </w:t>
      </w:r>
      <w:r>
        <w:rPr>
          <w:rFonts w:ascii="Times New Roman" w:hAnsi="Times New Roman"/>
        </w:rPr>
        <w:t>decentramento e autonomia delle unità locali; Enti territoriali e Enti Istituzionali; concetto di amministrazioni pubbliche; cenni al conto economico consolidato delle amministrazioni pubbliche.</w:t>
      </w:r>
    </w:p>
    <w:p w14:paraId="24AE2AAC" w14:textId="623F6ADA" w:rsidR="0011189D" w:rsidRPr="008D35E3" w:rsidRDefault="0011189D" w:rsidP="0011189D">
      <w:pPr>
        <w:pStyle w:val="Paragrafoelenco"/>
        <w:numPr>
          <w:ilvl w:val="1"/>
          <w:numId w:val="3"/>
        </w:numPr>
        <w:jc w:val="both"/>
        <w:rPr>
          <w:rFonts w:ascii="Times New Roman" w:hAnsi="Times New Roman"/>
          <w:b/>
        </w:rPr>
      </w:pPr>
      <w:r>
        <w:rPr>
          <w:rFonts w:ascii="Times New Roman" w:hAnsi="Times New Roman"/>
          <w:b/>
        </w:rPr>
        <w:lastRenderedPageBreak/>
        <w:t>Le spese pubbliche:</w:t>
      </w:r>
      <w:r>
        <w:rPr>
          <w:rFonts w:ascii="Times New Roman" w:hAnsi="Times New Roman"/>
        </w:rPr>
        <w:t xml:space="preserve"> Definizione e classificazione della spesa pubblica (spese correnti e spese in conto capitale, spese per beni e servizi e spese per trasferimenti); andamento della spesa pubblica (legge di Wagner); effetti economici dell’incremento della spesa pubblica; politiche di contenimento (</w:t>
      </w:r>
      <w:r w:rsidR="008D35E3">
        <w:rPr>
          <w:rFonts w:ascii="Times New Roman" w:hAnsi="Times New Roman"/>
        </w:rPr>
        <w:t xml:space="preserve">difficoltà di riduzione della spesa pubblica; </w:t>
      </w:r>
      <w:r>
        <w:rPr>
          <w:rFonts w:ascii="Times New Roman" w:hAnsi="Times New Roman"/>
        </w:rPr>
        <w:t>tagli lineari e spending review)</w:t>
      </w:r>
      <w:r w:rsidR="008D35E3">
        <w:rPr>
          <w:rFonts w:ascii="Times New Roman" w:hAnsi="Times New Roman"/>
        </w:rPr>
        <w:t>.</w:t>
      </w:r>
    </w:p>
    <w:p w14:paraId="6783AF36" w14:textId="77777777" w:rsidR="008537BB" w:rsidRPr="008537BB" w:rsidRDefault="008D35E3" w:rsidP="0011189D">
      <w:pPr>
        <w:pStyle w:val="Paragrafoelenco"/>
        <w:numPr>
          <w:ilvl w:val="1"/>
          <w:numId w:val="3"/>
        </w:numPr>
        <w:jc w:val="both"/>
        <w:rPr>
          <w:rFonts w:ascii="Times New Roman" w:hAnsi="Times New Roman"/>
          <w:b/>
        </w:rPr>
      </w:pPr>
      <w:r>
        <w:rPr>
          <w:rFonts w:ascii="Times New Roman" w:hAnsi="Times New Roman"/>
          <w:b/>
        </w:rPr>
        <w:t>Le entrate pubbliche:</w:t>
      </w:r>
      <w:r>
        <w:rPr>
          <w:rFonts w:ascii="Times New Roman" w:hAnsi="Times New Roman"/>
        </w:rPr>
        <w:t xml:space="preserve"> Definizione e classificazione delle entrate (entrate finali e per accensione di prestiti; entrate originarie e derivate; </w:t>
      </w:r>
      <w:r w:rsidR="00ED3768">
        <w:rPr>
          <w:rFonts w:ascii="Times New Roman" w:hAnsi="Times New Roman"/>
        </w:rPr>
        <w:t xml:space="preserve">entrate correnti ed in conto capitale; entrate coattive e contrattuali; entrate ordinarie e straordinarie); i prezzi (definizione, caratteristiche e classificazione: prezzi privati, quasi privati, pubblici e politici); i tributi in genere (definizione, caratteristiche); </w:t>
      </w:r>
      <w:r w:rsidR="008537BB">
        <w:rPr>
          <w:rFonts w:ascii="Times New Roman" w:hAnsi="Times New Roman"/>
        </w:rPr>
        <w:t>le forme di tributi (tasse, contributi e imposte); la pressione tributaria (definizione e calcolo, effetti della variazione della pressione fiscale, curva di Laffer).</w:t>
      </w:r>
    </w:p>
    <w:p w14:paraId="31108808" w14:textId="5DFD7202" w:rsidR="008D35E3" w:rsidRPr="00D12F2D" w:rsidRDefault="004B6E8D" w:rsidP="0011189D">
      <w:pPr>
        <w:pStyle w:val="Paragrafoelenco"/>
        <w:numPr>
          <w:ilvl w:val="1"/>
          <w:numId w:val="3"/>
        </w:numPr>
        <w:jc w:val="both"/>
        <w:rPr>
          <w:rFonts w:ascii="Times New Roman" w:hAnsi="Times New Roman"/>
          <w:b/>
        </w:rPr>
      </w:pPr>
      <w:r>
        <w:rPr>
          <w:rFonts w:ascii="Times New Roman" w:hAnsi="Times New Roman"/>
          <w:b/>
        </w:rPr>
        <w:t xml:space="preserve">La finanza locale: </w:t>
      </w:r>
      <w:r w:rsidR="008537BB">
        <w:rPr>
          <w:rFonts w:ascii="Times New Roman" w:hAnsi="Times New Roman"/>
        </w:rPr>
        <w:t xml:space="preserve"> </w:t>
      </w:r>
      <w:r w:rsidR="00D12F2D">
        <w:rPr>
          <w:rFonts w:ascii="Times New Roman" w:hAnsi="Times New Roman"/>
        </w:rPr>
        <w:t>L’autonomia finanziaria degli enti territoriali; il principio di sussidiarietà; il centralismo fiscale (caratteristiche, pro e contro, compartecipazioni e trasferimenti agli enti territoriali); il federalismo fiscale (caratteristiche, pro e contro, autonomia di spese e di entrata, autonomia e autosufficienza finanziaria, federalismo cooperativo e competitivo); il sistema di finanza locale in Italia (Art. 119 Cost., fondo perequativo, limiti all’indebitamento degli enti territoriali); cenni al patto di stabilità interno.</w:t>
      </w:r>
    </w:p>
    <w:p w14:paraId="5BB8DCDA" w14:textId="1165AE22" w:rsidR="00D12F2D" w:rsidRPr="00D12F2D" w:rsidRDefault="00D12F2D" w:rsidP="0011189D">
      <w:pPr>
        <w:pStyle w:val="Paragrafoelenco"/>
        <w:numPr>
          <w:ilvl w:val="1"/>
          <w:numId w:val="3"/>
        </w:numPr>
        <w:jc w:val="both"/>
        <w:rPr>
          <w:rFonts w:ascii="Times New Roman" w:hAnsi="Times New Roman"/>
          <w:b/>
        </w:rPr>
      </w:pPr>
      <w:r>
        <w:rPr>
          <w:rFonts w:ascii="Times New Roman" w:hAnsi="Times New Roman"/>
          <w:b/>
        </w:rPr>
        <w:t>La finanza della protezione sociale:</w:t>
      </w:r>
      <w:r>
        <w:rPr>
          <w:rFonts w:ascii="Times New Roman" w:hAnsi="Times New Roman"/>
        </w:rPr>
        <w:t xml:space="preserve"> Concetto di protezione sociale e sue forme (previdenza, assistenza, tutela della salute); ragioni giuridiche ed economiche dell’intervento pubblico nella protezione sociale; forme di tutela e modalità di finanziamento della protezione sociale; effetti economici delle politiche di protezione sociale; cenni al sistema di protezione sociale in Italia: forme di previdenza (infortuni, pensioni, ammortizzatori sociali), assistenza sociale e servizio sanitario nazionale.</w:t>
      </w:r>
    </w:p>
    <w:p w14:paraId="72C88365" w14:textId="22A36195" w:rsidR="00D12F2D" w:rsidRPr="00D12F2D" w:rsidRDefault="00D12F2D" w:rsidP="00D12F2D">
      <w:pPr>
        <w:pStyle w:val="Paragrafoelenco"/>
        <w:numPr>
          <w:ilvl w:val="0"/>
          <w:numId w:val="3"/>
        </w:numPr>
        <w:jc w:val="both"/>
        <w:rPr>
          <w:rFonts w:ascii="Times New Roman" w:hAnsi="Times New Roman"/>
          <w:b/>
        </w:rPr>
      </w:pPr>
      <w:r w:rsidRPr="00D12F2D">
        <w:rPr>
          <w:rFonts w:ascii="Times New Roman" w:hAnsi="Times New Roman"/>
          <w:b/>
        </w:rPr>
        <w:t>IL BILANCIO DELLO STATO</w:t>
      </w:r>
    </w:p>
    <w:p w14:paraId="04D60C52" w14:textId="587C8865" w:rsidR="00D12F2D" w:rsidRPr="00B234A0" w:rsidRDefault="00D12F2D" w:rsidP="00D12F2D">
      <w:pPr>
        <w:pStyle w:val="Paragrafoelenco"/>
        <w:numPr>
          <w:ilvl w:val="1"/>
          <w:numId w:val="3"/>
        </w:numPr>
        <w:jc w:val="both"/>
        <w:rPr>
          <w:rFonts w:ascii="Times New Roman" w:hAnsi="Times New Roman"/>
          <w:b/>
        </w:rPr>
      </w:pPr>
      <w:r>
        <w:rPr>
          <w:rFonts w:ascii="Times New Roman" w:hAnsi="Times New Roman"/>
          <w:b/>
        </w:rPr>
        <w:t xml:space="preserve">Funzione e struttura del bilancio: </w:t>
      </w:r>
      <w:r>
        <w:rPr>
          <w:rFonts w:ascii="Times New Roman" w:hAnsi="Times New Roman"/>
        </w:rPr>
        <w:t xml:space="preserve">definizione e funzioni del bilancio (contabile, garazia, politica, giuridica, economica); i principi costituzionali sul bilancio dello stato (Art. 81 Cost.); bilancio di previsione e rendiconto; concetto di esercizio finanziario e competenza finanziaria (accertamento e impegno, bilancio per cassa e bilancio per competenza, residui attivi e passivi, bilancio annuale e pluriennale); principi di redazione del bilancio dello stato (annualità, universalità, integrità, unità, specificazione, veridicità, pubblicità); </w:t>
      </w:r>
      <w:r w:rsidR="00B234A0">
        <w:rPr>
          <w:rFonts w:ascii="Times New Roman" w:hAnsi="Times New Roman"/>
        </w:rPr>
        <w:t>struttura del bilancio (unità di voto, i titoli delle entrate e delle spese, cenni a tipologie-categorie-capitoli, missioni e programmi di spesa, entrate ricorrenti e non ricorrenti, spese rimodulabili e non rimodulabili); i risultati differenziali (risparmio pubblico, saldo netto da finanziare, indebitamento netto, ricorso al mercato).</w:t>
      </w:r>
    </w:p>
    <w:p w14:paraId="3B020B69" w14:textId="17E43BDC" w:rsidR="00B234A0" w:rsidRPr="001C16F7" w:rsidRDefault="00B234A0" w:rsidP="001C16F7">
      <w:pPr>
        <w:pStyle w:val="Paragrafoelenco"/>
        <w:numPr>
          <w:ilvl w:val="1"/>
          <w:numId w:val="3"/>
        </w:numPr>
        <w:jc w:val="both"/>
        <w:rPr>
          <w:rFonts w:ascii="Times New Roman" w:hAnsi="Times New Roman"/>
          <w:b/>
        </w:rPr>
      </w:pPr>
      <w:r>
        <w:rPr>
          <w:rFonts w:ascii="Times New Roman" w:hAnsi="Times New Roman"/>
          <w:b/>
        </w:rPr>
        <w:t>L’equilibrio dei conti pubblici:</w:t>
      </w:r>
      <w:r>
        <w:rPr>
          <w:rFonts w:ascii="Times New Roman" w:hAnsi="Times New Roman"/>
        </w:rPr>
        <w:t xml:space="preserve"> </w:t>
      </w:r>
      <w:r w:rsidR="00BE1673">
        <w:rPr>
          <w:rFonts w:ascii="Times New Roman" w:hAnsi="Times New Roman"/>
        </w:rPr>
        <w:t>cenni alle teorie sulla politica di bilancio (finanza neutrale, doppio bilancio, bilancio ciclico, bilancio funzionale); indebitamento e reddito nazionale (concetto di disavanzo, disavanzo primario,</w:t>
      </w:r>
      <w:r w:rsidR="001C16F7">
        <w:rPr>
          <w:rFonts w:ascii="Times New Roman" w:hAnsi="Times New Roman"/>
        </w:rPr>
        <w:t xml:space="preserve"> disavanzo strutturale,</w:t>
      </w:r>
      <w:r w:rsidR="00BE1673" w:rsidRPr="001C16F7">
        <w:rPr>
          <w:rFonts w:ascii="Times New Roman" w:hAnsi="Times New Roman"/>
        </w:rPr>
        <w:t xml:space="preserve"> debito pubblico); </w:t>
      </w:r>
      <w:r w:rsidR="001C16F7" w:rsidRPr="001C16F7">
        <w:rPr>
          <w:rFonts w:ascii="Times New Roman" w:hAnsi="Times New Roman"/>
        </w:rPr>
        <w:t>vincoli all’indebitamento (pareggio ciclico costituzionale, e cenni ai vincoli europei: patto di stabilità e crescita, fiscal compact).</w:t>
      </w:r>
    </w:p>
    <w:p w14:paraId="757E05C8" w14:textId="6850292D" w:rsidR="00974EE5" w:rsidRPr="00974EE5" w:rsidRDefault="001C16F7" w:rsidP="00974EE5">
      <w:pPr>
        <w:pStyle w:val="Paragrafoelenco"/>
        <w:numPr>
          <w:ilvl w:val="1"/>
          <w:numId w:val="3"/>
        </w:numPr>
        <w:jc w:val="both"/>
        <w:rPr>
          <w:rFonts w:ascii="Times New Roman" w:hAnsi="Times New Roman"/>
          <w:b/>
        </w:rPr>
      </w:pPr>
      <w:r>
        <w:rPr>
          <w:rFonts w:ascii="Times New Roman" w:hAnsi="Times New Roman"/>
          <w:b/>
        </w:rPr>
        <w:t>Formazione, approvazione e gestione del bilancio statale:</w:t>
      </w:r>
      <w:r>
        <w:rPr>
          <w:rFonts w:ascii="Times New Roman" w:hAnsi="Times New Roman"/>
        </w:rPr>
        <w:t xml:space="preserve"> programmazione del bilancio dello stato; semestre europeo; documento di economia e finanza e suo aggiornamento; legge di stabilità e legge di bilancio; approvazione del bilancio e esercizio provvisorio; cenni a flessibilità e assestamento di bilancio (spese rimodulabili, fondi di bilancio, leggi successive al bilancio); </w:t>
      </w:r>
      <w:r w:rsidR="00974EE5">
        <w:rPr>
          <w:rFonts w:ascii="Times New Roman" w:hAnsi="Times New Roman"/>
        </w:rPr>
        <w:t>la gestione del bilancio (centri di responsabilià, gestione di competenza e di cassa); controlli sul bilancio (controlli intreni e controllo della Corte dei conti); il rendiconto generale dello stato (definizione, conto del bilancio, conto del patrimonio, giudizio di parificazione).</w:t>
      </w:r>
    </w:p>
    <w:p w14:paraId="6648A20D" w14:textId="6F4EC9C4" w:rsidR="00974EE5" w:rsidRPr="00974EE5" w:rsidRDefault="00974EE5" w:rsidP="00974EE5">
      <w:pPr>
        <w:pStyle w:val="Paragrafoelenco"/>
        <w:numPr>
          <w:ilvl w:val="0"/>
          <w:numId w:val="3"/>
        </w:numPr>
        <w:jc w:val="both"/>
        <w:rPr>
          <w:rFonts w:ascii="Times New Roman" w:hAnsi="Times New Roman"/>
          <w:b/>
        </w:rPr>
      </w:pPr>
      <w:r w:rsidRPr="00974EE5">
        <w:rPr>
          <w:rFonts w:ascii="Times New Roman" w:hAnsi="Times New Roman"/>
          <w:b/>
        </w:rPr>
        <w:t>IL SISTEMA TRIBUTARIO. PRINCIPI GENERALI:</w:t>
      </w:r>
    </w:p>
    <w:p w14:paraId="0B7DAC7C" w14:textId="7A176E39" w:rsidR="00974EE5" w:rsidRPr="00974EE5" w:rsidRDefault="00974EE5" w:rsidP="00974EE5">
      <w:pPr>
        <w:pStyle w:val="Paragrafoelenco"/>
        <w:numPr>
          <w:ilvl w:val="1"/>
          <w:numId w:val="3"/>
        </w:numPr>
        <w:jc w:val="both"/>
        <w:rPr>
          <w:rFonts w:ascii="Times New Roman" w:hAnsi="Times New Roman"/>
          <w:b/>
        </w:rPr>
      </w:pPr>
      <w:r>
        <w:rPr>
          <w:rFonts w:ascii="Times New Roman" w:hAnsi="Times New Roman"/>
          <w:b/>
        </w:rPr>
        <w:t xml:space="preserve">Le imposte e il sistema tributario: </w:t>
      </w:r>
      <w:r>
        <w:rPr>
          <w:rFonts w:ascii="Times New Roman" w:hAnsi="Times New Roman"/>
        </w:rPr>
        <w:t>Imposta e capacità contributiva; elementi dell’imposta (presupposto, soggetto attivo e passivo, oggetto, base imponibile, aliquota); le diverse tipologie di imposta (dirette e indirette, reali e personali, generali e speciali, proporzionali e progressive o regressive, forme di progressività).</w:t>
      </w:r>
    </w:p>
    <w:p w14:paraId="469FC362" w14:textId="30703CCC" w:rsidR="00974EE5" w:rsidRPr="00FF44A3" w:rsidRDefault="00974EE5" w:rsidP="00974EE5">
      <w:pPr>
        <w:pStyle w:val="Paragrafoelenco"/>
        <w:numPr>
          <w:ilvl w:val="1"/>
          <w:numId w:val="3"/>
        </w:numPr>
        <w:jc w:val="both"/>
        <w:rPr>
          <w:rFonts w:ascii="Times New Roman" w:hAnsi="Times New Roman"/>
          <w:b/>
        </w:rPr>
      </w:pPr>
      <w:r>
        <w:rPr>
          <w:rFonts w:ascii="Times New Roman" w:hAnsi="Times New Roman"/>
          <w:b/>
        </w:rPr>
        <w:t>Accertamento e riscossione:</w:t>
      </w:r>
      <w:r>
        <w:rPr>
          <w:rFonts w:ascii="Times New Roman" w:hAnsi="Times New Roman"/>
        </w:rPr>
        <w:t xml:space="preserve"> fasi di applicazione delle imposte (accertamento, riscossione, versamento); </w:t>
      </w:r>
      <w:r w:rsidR="00FF44A3">
        <w:rPr>
          <w:rFonts w:ascii="Times New Roman" w:hAnsi="Times New Roman"/>
        </w:rPr>
        <w:t>accertamento (definizione, accertamento analitico e sintetico, accertamento d’ufficio e in base a dichiarazione verificata, accertamento in rettifica, tassazione e liquidazione); riscossione (versamento diretto, ritenuta alla fonte, riscossione per ruoli e per bollo, la gestione della riscossione).</w:t>
      </w:r>
    </w:p>
    <w:p w14:paraId="2ED49AC5" w14:textId="32891DC7" w:rsidR="00FF44A3" w:rsidRPr="00FF44A3" w:rsidRDefault="00FF44A3" w:rsidP="00FF44A3">
      <w:pPr>
        <w:pStyle w:val="Paragrafoelenco"/>
        <w:numPr>
          <w:ilvl w:val="1"/>
          <w:numId w:val="3"/>
        </w:numPr>
        <w:jc w:val="both"/>
        <w:rPr>
          <w:rFonts w:ascii="Times New Roman" w:hAnsi="Times New Roman"/>
          <w:b/>
        </w:rPr>
      </w:pPr>
      <w:r>
        <w:rPr>
          <w:rFonts w:ascii="Times New Roman" w:hAnsi="Times New Roman"/>
          <w:b/>
        </w:rPr>
        <w:t>Effetti economici dell’imposta:</w:t>
      </w:r>
      <w:r>
        <w:rPr>
          <w:rFonts w:ascii="Times New Roman" w:hAnsi="Times New Roman"/>
        </w:rPr>
        <w:t xml:space="preserve"> principali effetti macroeconomici e microeconomici; evasione; elusione; rimozione negativa e positiva; traslazione (contribuente di fatto e contribuente di diritto, traslazione in avanti, all’indietro e laterale); ammortamento dell’imposta; diffusione dell’imposta.</w:t>
      </w:r>
    </w:p>
    <w:p w14:paraId="514824A6" w14:textId="009B5EA1" w:rsidR="00FF44A3" w:rsidRPr="00FF44A3" w:rsidRDefault="00FF44A3" w:rsidP="00FF44A3">
      <w:pPr>
        <w:pStyle w:val="Paragrafoelenco"/>
        <w:numPr>
          <w:ilvl w:val="0"/>
          <w:numId w:val="3"/>
        </w:numPr>
        <w:jc w:val="both"/>
        <w:rPr>
          <w:rFonts w:ascii="Times New Roman" w:hAnsi="Times New Roman"/>
          <w:b/>
        </w:rPr>
      </w:pPr>
      <w:r w:rsidRPr="00FF44A3">
        <w:rPr>
          <w:rFonts w:ascii="Times New Roman" w:hAnsi="Times New Roman"/>
          <w:b/>
        </w:rPr>
        <w:t>IL SISTEMA TRIBUTARIO ITALIANO</w:t>
      </w:r>
      <w:r>
        <w:rPr>
          <w:rFonts w:ascii="Times New Roman" w:hAnsi="Times New Roman"/>
        </w:rPr>
        <w:t>:</w:t>
      </w:r>
    </w:p>
    <w:p w14:paraId="57B2C779" w14:textId="5AA033AA" w:rsidR="00FF44A3" w:rsidRPr="001F2CDD" w:rsidRDefault="00893CAE" w:rsidP="00FF44A3">
      <w:pPr>
        <w:pStyle w:val="Paragrafoelenco"/>
        <w:numPr>
          <w:ilvl w:val="1"/>
          <w:numId w:val="3"/>
        </w:numPr>
        <w:jc w:val="both"/>
        <w:rPr>
          <w:rFonts w:ascii="Times New Roman" w:hAnsi="Times New Roman"/>
          <w:b/>
        </w:rPr>
      </w:pPr>
      <w:r>
        <w:rPr>
          <w:rFonts w:ascii="Times New Roman" w:hAnsi="Times New Roman"/>
          <w:b/>
        </w:rPr>
        <w:t xml:space="preserve">Cenni introduttivi e IRPEF: </w:t>
      </w:r>
      <w:r>
        <w:rPr>
          <w:rFonts w:ascii="Times New Roman" w:hAnsi="Times New Roman"/>
        </w:rPr>
        <w:t>lineamenti generali del sistema tributario italiano (imposte sui redditi, imposte su scambi e consumi, imposte sugli affari, tributi regionali e locali); IRPEF: definizione, cartteristiche, presupposto, soggetti passivi, titolarità giuridica del reddito: familiari a carico, impresa familiare, società di persone</w:t>
      </w:r>
      <w:r w:rsidR="001F2CDD">
        <w:rPr>
          <w:rFonts w:ascii="Times New Roman" w:hAnsi="Times New Roman"/>
        </w:rPr>
        <w:t>); determinazione dell’imposta da versare: reddito complessivo, redditi esclusi o soggetti a tassazione separata, oneri deducibili e detraibili, imposta lorda e imposta netta, detrazioni oggettive e per carichi di famiglia, crediti di imposta, acconti e ritenute d’acconto.</w:t>
      </w:r>
    </w:p>
    <w:p w14:paraId="1C9DCB08" w14:textId="1D6969F8" w:rsidR="00580F30" w:rsidRPr="00580F30" w:rsidRDefault="001F2CDD" w:rsidP="00580F30">
      <w:pPr>
        <w:pStyle w:val="Paragrafoelenco"/>
        <w:numPr>
          <w:ilvl w:val="1"/>
          <w:numId w:val="3"/>
        </w:numPr>
        <w:jc w:val="both"/>
        <w:rPr>
          <w:rFonts w:ascii="Times New Roman" w:hAnsi="Times New Roman"/>
          <w:b/>
        </w:rPr>
      </w:pPr>
      <w:r>
        <w:rPr>
          <w:rFonts w:ascii="Times New Roman" w:hAnsi="Times New Roman"/>
          <w:b/>
        </w:rPr>
        <w:t xml:space="preserve">La determinazione dei redditi ai fini dell’IRPEF: </w:t>
      </w:r>
      <w:r>
        <w:rPr>
          <w:rFonts w:ascii="Times New Roman" w:hAnsi="Times New Roman"/>
        </w:rPr>
        <w:t>redditi da terreni (reddito dominicale e agrario); redditi da fabbricati (abitazione principale e altri fabbricati, redditi su fabbricati locati e abitazioni tenute a disposizione, cedolare secca); redditi di capitale (definizione, ritenute alla fonte</w:t>
      </w:r>
      <w:r w:rsidR="00580F30">
        <w:rPr>
          <w:rFonts w:ascii="Times New Roman" w:hAnsi="Times New Roman"/>
        </w:rPr>
        <w:t xml:space="preserve"> a titolo di imposta</w:t>
      </w:r>
      <w:r>
        <w:rPr>
          <w:rFonts w:ascii="Times New Roman" w:hAnsi="Times New Roman"/>
        </w:rPr>
        <w:t xml:space="preserve"> e redditi da dichiarare, redditi da dividendi  su partecipazioni qualificate e non qualificate); redditi da lavoro dipendente (lavoro subordinato e </w:t>
      </w:r>
      <w:r w:rsidR="00580F30">
        <w:rPr>
          <w:rFonts w:ascii="Times New Roman" w:hAnsi="Times New Roman"/>
        </w:rPr>
        <w:t>redditi assimilati, fringe benefits, ritenute alla fonte a titolo di acconto); redditi di lavoro autonomo (definizione, criterio di cassa, regime normale di contabilità semplificata, limiti alla deducibilità di alcuni costi: beni ad uso promiscuo, compensi a familiari, deducibilità delle perdite); redditi di impresa (concetto di imprese commerciali, forme di contabilità ordinaria e semplificata, scritture obbligatorie, limiti alla deducibilità di alcuni costi: spese extragestione, compensi ai familiari, interessi passivi, beni ad uso promiscuo, deducibilità delle perdite); redditi diversi (definizione, plusvalenze immobiliari, plusvalenze finanziarie, cenni alle altre tipologie).</w:t>
      </w:r>
    </w:p>
    <w:p w14:paraId="32CA7EA6" w14:textId="4A28938F" w:rsidR="00580F30" w:rsidRPr="002604A3" w:rsidRDefault="00122475" w:rsidP="00580F30">
      <w:pPr>
        <w:pStyle w:val="Paragrafoelenco"/>
        <w:numPr>
          <w:ilvl w:val="1"/>
          <w:numId w:val="3"/>
        </w:numPr>
        <w:jc w:val="both"/>
        <w:rPr>
          <w:rFonts w:ascii="Times New Roman" w:hAnsi="Times New Roman"/>
          <w:b/>
        </w:rPr>
      </w:pPr>
      <w:r>
        <w:rPr>
          <w:rFonts w:ascii="Times New Roman" w:hAnsi="Times New Roman"/>
          <w:b/>
        </w:rPr>
        <w:t>IRES:</w:t>
      </w:r>
      <w:r>
        <w:rPr>
          <w:rFonts w:ascii="Times New Roman" w:hAnsi="Times New Roman"/>
        </w:rPr>
        <w:t xml:space="preserve"> </w:t>
      </w:r>
      <w:r w:rsidR="002604A3">
        <w:rPr>
          <w:rFonts w:ascii="Times New Roman" w:hAnsi="Times New Roman"/>
        </w:rPr>
        <w:t>caratteristiche, presupposto e soggetti passivi dell’IRES (società commerciali residenti, enti commerciali e non commerciali residenti, società ed enti non residenti, trust); determinazione dell’IRES per le società e gli enti commerciali residenti (reddito di bilancio e reddito imponibile, principi di determinazione del reddito fiscale: competenza, certezza e determinabilità, inerenza, imputazione al conto economico); cenni ai principali componenti positivi e negativi di reddito e riporto della perdita; cenni ai regimi opzionali di trasparenza e consolidato fiscale.</w:t>
      </w:r>
    </w:p>
    <w:p w14:paraId="1B774897" w14:textId="5F3E0B18" w:rsidR="002604A3" w:rsidRPr="00580F30" w:rsidRDefault="002604A3" w:rsidP="00580F30">
      <w:pPr>
        <w:pStyle w:val="Paragrafoelenco"/>
        <w:numPr>
          <w:ilvl w:val="1"/>
          <w:numId w:val="3"/>
        </w:numPr>
        <w:jc w:val="both"/>
        <w:rPr>
          <w:rFonts w:ascii="Times New Roman" w:hAnsi="Times New Roman"/>
          <w:b/>
        </w:rPr>
      </w:pPr>
      <w:r>
        <w:rPr>
          <w:rFonts w:ascii="Times New Roman" w:hAnsi="Times New Roman"/>
          <w:b/>
        </w:rPr>
        <w:t>Imposta sul valore aggiunto:</w:t>
      </w:r>
      <w:r>
        <w:rPr>
          <w:rFonts w:ascii="Times New Roman" w:hAnsi="Times New Roman"/>
        </w:rPr>
        <w:t xml:space="preserve"> </w:t>
      </w:r>
      <w:r w:rsidR="00935E8B">
        <w:rPr>
          <w:rFonts w:ascii="Times New Roman" w:hAnsi="Times New Roman"/>
        </w:rPr>
        <w:t xml:space="preserve">caratteristiche dell’IVA </w:t>
      </w:r>
      <w:r w:rsidR="001B3F73">
        <w:rPr>
          <w:rFonts w:ascii="Times New Roman" w:hAnsi="Times New Roman"/>
        </w:rPr>
        <w:t>(concetto di imposta plurifase</w:t>
      </w:r>
      <w:r w:rsidR="00935E8B">
        <w:rPr>
          <w:rFonts w:ascii="Times New Roman" w:hAnsi="Times New Roman"/>
        </w:rPr>
        <w:t>, trasparente, neutra); definizione e calcolo del valore aggiunto (deduzione da base a base e da imposta a imposta, rivalsa e detrazione); operazioni rilevanti ai fini IVA (presupposto oggettivo, soggettivo e territoriale, operazioni non imponibili ed esenti, concetto di volume d’affari); determinazione dell’imposta; obblighi del contribuente (dichiarazione di inizio e variazione attività, fatturazione e registrazione, dichiarazioni e liquidazioni periodiche); i commercianti al minuto (definizione, obblighi di registrazione, scorporo e ventilazione dei corrispettivi).</w:t>
      </w:r>
    </w:p>
    <w:sectPr w:rsidR="002604A3" w:rsidRPr="00580F30" w:rsidSect="000C523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2AD0"/>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401A3C"/>
    <w:multiLevelType w:val="multilevel"/>
    <w:tmpl w:val="39B07E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1B4742"/>
    <w:multiLevelType w:val="hybridMultilevel"/>
    <w:tmpl w:val="36D617D2"/>
    <w:lvl w:ilvl="0" w:tplc="4600DA2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55"/>
    <w:rsid w:val="000C523D"/>
    <w:rsid w:val="0011189D"/>
    <w:rsid w:val="00122475"/>
    <w:rsid w:val="0017395E"/>
    <w:rsid w:val="001B3F73"/>
    <w:rsid w:val="001C16F7"/>
    <w:rsid w:val="001F2CDD"/>
    <w:rsid w:val="002604A3"/>
    <w:rsid w:val="0029241C"/>
    <w:rsid w:val="003C6FDA"/>
    <w:rsid w:val="004B6E8D"/>
    <w:rsid w:val="00580F30"/>
    <w:rsid w:val="00727EB4"/>
    <w:rsid w:val="008537BB"/>
    <w:rsid w:val="00893CAE"/>
    <w:rsid w:val="008C4C89"/>
    <w:rsid w:val="008D35E3"/>
    <w:rsid w:val="00926755"/>
    <w:rsid w:val="00935E8B"/>
    <w:rsid w:val="00974EE5"/>
    <w:rsid w:val="00B234A0"/>
    <w:rsid w:val="00BE1673"/>
    <w:rsid w:val="00D12F2D"/>
    <w:rsid w:val="00E82035"/>
    <w:rsid w:val="00ED3768"/>
    <w:rsid w:val="00FA3C7B"/>
    <w:rsid w:val="00FF44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F0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6755"/>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727E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6755"/>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727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27802">
      <w:bodyDiv w:val="1"/>
      <w:marLeft w:val="0"/>
      <w:marRight w:val="0"/>
      <w:marTop w:val="0"/>
      <w:marBottom w:val="0"/>
      <w:divBdr>
        <w:top w:val="none" w:sz="0" w:space="0" w:color="auto"/>
        <w:left w:val="none" w:sz="0" w:space="0" w:color="auto"/>
        <w:bottom w:val="none" w:sz="0" w:space="0" w:color="auto"/>
        <w:right w:val="none" w:sz="0" w:space="0" w:color="auto"/>
      </w:divBdr>
      <w:divsChild>
        <w:div w:id="1035354413">
          <w:marLeft w:val="0"/>
          <w:marRight w:val="0"/>
          <w:marTop w:val="0"/>
          <w:marBottom w:val="0"/>
          <w:divBdr>
            <w:top w:val="none" w:sz="0" w:space="0" w:color="auto"/>
            <w:left w:val="none" w:sz="0" w:space="0" w:color="auto"/>
            <w:bottom w:val="none" w:sz="0" w:space="0" w:color="auto"/>
            <w:right w:val="none" w:sz="0" w:space="0" w:color="auto"/>
          </w:divBdr>
          <w:divsChild>
            <w:div w:id="1048803264">
              <w:marLeft w:val="0"/>
              <w:marRight w:val="0"/>
              <w:marTop w:val="0"/>
              <w:marBottom w:val="0"/>
              <w:divBdr>
                <w:top w:val="none" w:sz="0" w:space="0" w:color="auto"/>
                <w:left w:val="none" w:sz="0" w:space="0" w:color="auto"/>
                <w:bottom w:val="none" w:sz="0" w:space="0" w:color="auto"/>
                <w:right w:val="none" w:sz="0" w:space="0" w:color="auto"/>
              </w:divBdr>
              <w:divsChild>
                <w:div w:id="1543980575">
                  <w:marLeft w:val="0"/>
                  <w:marRight w:val="0"/>
                  <w:marTop w:val="0"/>
                  <w:marBottom w:val="0"/>
                  <w:divBdr>
                    <w:top w:val="none" w:sz="0" w:space="0" w:color="auto"/>
                    <w:left w:val="none" w:sz="0" w:space="0" w:color="auto"/>
                    <w:bottom w:val="none" w:sz="0" w:space="0" w:color="auto"/>
                    <w:right w:val="none" w:sz="0" w:space="0" w:color="auto"/>
                  </w:divBdr>
                </w:div>
              </w:divsChild>
            </w:div>
            <w:div w:id="1533223150">
              <w:marLeft w:val="0"/>
              <w:marRight w:val="0"/>
              <w:marTop w:val="0"/>
              <w:marBottom w:val="0"/>
              <w:divBdr>
                <w:top w:val="none" w:sz="0" w:space="0" w:color="auto"/>
                <w:left w:val="none" w:sz="0" w:space="0" w:color="auto"/>
                <w:bottom w:val="none" w:sz="0" w:space="0" w:color="auto"/>
                <w:right w:val="none" w:sz="0" w:space="0" w:color="auto"/>
              </w:divBdr>
              <w:divsChild>
                <w:div w:id="721103874">
                  <w:marLeft w:val="0"/>
                  <w:marRight w:val="0"/>
                  <w:marTop w:val="0"/>
                  <w:marBottom w:val="0"/>
                  <w:divBdr>
                    <w:top w:val="none" w:sz="0" w:space="0" w:color="auto"/>
                    <w:left w:val="none" w:sz="0" w:space="0" w:color="auto"/>
                    <w:bottom w:val="none" w:sz="0" w:space="0" w:color="auto"/>
                    <w:right w:val="none" w:sz="0" w:space="0" w:color="auto"/>
                  </w:divBdr>
                </w:div>
              </w:divsChild>
            </w:div>
            <w:div w:id="703091082">
              <w:marLeft w:val="0"/>
              <w:marRight w:val="0"/>
              <w:marTop w:val="0"/>
              <w:marBottom w:val="0"/>
              <w:divBdr>
                <w:top w:val="none" w:sz="0" w:space="0" w:color="auto"/>
                <w:left w:val="none" w:sz="0" w:space="0" w:color="auto"/>
                <w:bottom w:val="none" w:sz="0" w:space="0" w:color="auto"/>
                <w:right w:val="none" w:sz="0" w:space="0" w:color="auto"/>
              </w:divBdr>
              <w:divsChild>
                <w:div w:id="15067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48224">
          <w:marLeft w:val="0"/>
          <w:marRight w:val="0"/>
          <w:marTop w:val="0"/>
          <w:marBottom w:val="0"/>
          <w:divBdr>
            <w:top w:val="none" w:sz="0" w:space="0" w:color="auto"/>
            <w:left w:val="none" w:sz="0" w:space="0" w:color="auto"/>
            <w:bottom w:val="none" w:sz="0" w:space="0" w:color="auto"/>
            <w:right w:val="none" w:sz="0" w:space="0" w:color="auto"/>
          </w:divBdr>
          <w:divsChild>
            <w:div w:id="1352297473">
              <w:marLeft w:val="0"/>
              <w:marRight w:val="0"/>
              <w:marTop w:val="0"/>
              <w:marBottom w:val="0"/>
              <w:divBdr>
                <w:top w:val="none" w:sz="0" w:space="0" w:color="auto"/>
                <w:left w:val="none" w:sz="0" w:space="0" w:color="auto"/>
                <w:bottom w:val="none" w:sz="0" w:space="0" w:color="auto"/>
                <w:right w:val="none" w:sz="0" w:space="0" w:color="auto"/>
              </w:divBdr>
              <w:divsChild>
                <w:div w:id="16774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02255">
      <w:bodyDiv w:val="1"/>
      <w:marLeft w:val="0"/>
      <w:marRight w:val="0"/>
      <w:marTop w:val="0"/>
      <w:marBottom w:val="0"/>
      <w:divBdr>
        <w:top w:val="none" w:sz="0" w:space="0" w:color="auto"/>
        <w:left w:val="none" w:sz="0" w:space="0" w:color="auto"/>
        <w:bottom w:val="none" w:sz="0" w:space="0" w:color="auto"/>
        <w:right w:val="none" w:sz="0" w:space="0" w:color="auto"/>
      </w:divBdr>
      <w:divsChild>
        <w:div w:id="2015261277">
          <w:marLeft w:val="0"/>
          <w:marRight w:val="0"/>
          <w:marTop w:val="0"/>
          <w:marBottom w:val="0"/>
          <w:divBdr>
            <w:top w:val="none" w:sz="0" w:space="0" w:color="auto"/>
            <w:left w:val="none" w:sz="0" w:space="0" w:color="auto"/>
            <w:bottom w:val="none" w:sz="0" w:space="0" w:color="auto"/>
            <w:right w:val="none" w:sz="0" w:space="0" w:color="auto"/>
          </w:divBdr>
          <w:divsChild>
            <w:div w:id="1597058975">
              <w:marLeft w:val="0"/>
              <w:marRight w:val="0"/>
              <w:marTop w:val="0"/>
              <w:marBottom w:val="0"/>
              <w:divBdr>
                <w:top w:val="none" w:sz="0" w:space="0" w:color="auto"/>
                <w:left w:val="none" w:sz="0" w:space="0" w:color="auto"/>
                <w:bottom w:val="none" w:sz="0" w:space="0" w:color="auto"/>
                <w:right w:val="none" w:sz="0" w:space="0" w:color="auto"/>
              </w:divBdr>
              <w:divsChild>
                <w:div w:id="9778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9FE9-339D-0B4C-9368-B4917BA9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1691</Words>
  <Characters>9645</Characters>
  <Application>Microsoft Macintosh Word</Application>
  <DocSecurity>0</DocSecurity>
  <Lines>80</Lines>
  <Paragraphs>22</Paragraphs>
  <ScaleCrop>false</ScaleCrop>
  <Company>STUDIO FAVARON</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FAVARON</dc:creator>
  <cp:keywords/>
  <dc:description/>
  <cp:lastModifiedBy>MASSIMO FAVARON</cp:lastModifiedBy>
  <cp:revision>13</cp:revision>
  <dcterms:created xsi:type="dcterms:W3CDTF">2017-04-30T16:07:00Z</dcterms:created>
  <dcterms:modified xsi:type="dcterms:W3CDTF">2017-05-02T16:06:00Z</dcterms:modified>
</cp:coreProperties>
</file>